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A9B382">
      <w:pPr>
        <w:snapToGrid w:val="0"/>
        <w:spacing w:line="540" w:lineRule="exact"/>
        <w:jc w:val="center"/>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2026年海南省职业院校职业技能大赛</w:t>
      </w:r>
    </w:p>
    <w:p w14:paraId="68E9A566">
      <w:pPr>
        <w:snapToGrid w:val="0"/>
        <w:spacing w:line="540" w:lineRule="exact"/>
        <w:jc w:val="center"/>
        <w:rPr>
          <w:rFonts w:hint="eastAsia" w:ascii="方正小标宋简体" w:hAnsi="方正小标宋简体" w:eastAsia="方正小标宋简体" w:cs="方正小标宋简体"/>
          <w:bCs/>
          <w:sz w:val="44"/>
          <w:szCs w:val="44"/>
          <w:lang w:eastAsia="zh-CN"/>
        </w:rPr>
      </w:pPr>
      <w:r>
        <w:rPr>
          <w:rFonts w:hint="eastAsia" w:ascii="方正小标宋简体" w:hAnsi="方正小标宋简体" w:eastAsia="方正小标宋简体" w:cs="方正小标宋简体"/>
          <w:bCs/>
          <w:sz w:val="44"/>
          <w:szCs w:val="44"/>
        </w:rPr>
        <w:t>学生技能竞赛</w:t>
      </w:r>
      <w:r>
        <w:rPr>
          <w:rFonts w:hint="eastAsia" w:ascii="方正小标宋简体" w:hAnsi="方正小标宋简体" w:eastAsia="方正小标宋简体" w:cs="方正小标宋简体"/>
          <w:bCs/>
          <w:sz w:val="44"/>
          <w:szCs w:val="44"/>
          <w:lang w:eastAsia="zh-CN"/>
        </w:rPr>
        <w:t>（</w:t>
      </w:r>
      <w:r>
        <w:rPr>
          <w:rFonts w:hint="eastAsia" w:ascii="方正小标宋简体" w:hAnsi="方正小标宋简体" w:eastAsia="方正小标宋简体" w:cs="方正小标宋简体"/>
          <w:bCs/>
          <w:sz w:val="44"/>
          <w:szCs w:val="44"/>
          <w:lang w:val="en-US" w:eastAsia="zh-CN"/>
        </w:rPr>
        <w:t>高职组</w:t>
      </w:r>
      <w:r>
        <w:rPr>
          <w:rFonts w:hint="eastAsia" w:ascii="方正小标宋简体" w:hAnsi="方正小标宋简体" w:eastAsia="方正小标宋简体" w:cs="方正小标宋简体"/>
          <w:bCs/>
          <w:sz w:val="44"/>
          <w:szCs w:val="44"/>
          <w:lang w:eastAsia="zh-CN"/>
        </w:rPr>
        <w:t>）</w:t>
      </w:r>
    </w:p>
    <w:p w14:paraId="07D3A374">
      <w:pPr>
        <w:snapToGrid w:val="0"/>
        <w:spacing w:line="560" w:lineRule="exact"/>
        <w:jc w:val="center"/>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互联网+国际经济与贸易赛项规程</w:t>
      </w:r>
    </w:p>
    <w:p w14:paraId="6ACE6EF9">
      <w:pPr>
        <w:snapToGrid w:val="0"/>
        <w:spacing w:line="560" w:lineRule="exact"/>
        <w:jc w:val="center"/>
        <w:rPr>
          <w:rFonts w:ascii="仿宋_GB2312" w:hAnsi="仿宋_GB2312" w:eastAsia="仿宋_GB2312" w:cs="仿宋_GB2312"/>
          <w:bCs/>
          <w:sz w:val="32"/>
          <w:szCs w:val="32"/>
        </w:rPr>
      </w:pPr>
    </w:p>
    <w:p w14:paraId="0AC8D7CF">
      <w:pPr>
        <w:tabs>
          <w:tab w:val="left" w:pos="567"/>
        </w:tabs>
        <w:snapToGrid w:val="0"/>
        <w:spacing w:line="560" w:lineRule="exact"/>
        <w:ind w:left="643"/>
        <w:rPr>
          <w:rFonts w:ascii="黑体" w:hAnsi="黑体" w:eastAsia="黑体" w:cs="黑体"/>
          <w:sz w:val="32"/>
          <w:szCs w:val="32"/>
        </w:rPr>
      </w:pPr>
      <w:r>
        <w:rPr>
          <w:rFonts w:hint="eastAsia" w:ascii="黑体" w:hAnsi="黑体" w:eastAsia="黑体" w:cs="黑体"/>
          <w:sz w:val="32"/>
          <w:szCs w:val="32"/>
        </w:rPr>
        <w:t>一、赛项名称</w:t>
      </w:r>
    </w:p>
    <w:p w14:paraId="289D4472">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赛项名称：互联网+国际经济与贸易</w:t>
      </w:r>
    </w:p>
    <w:p w14:paraId="7924CDC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赛项组别：高等职业教育</w:t>
      </w:r>
    </w:p>
    <w:p w14:paraId="063942DB">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赛项归属产业：财经商贸</w:t>
      </w:r>
    </w:p>
    <w:p w14:paraId="4B2908AA">
      <w:pPr>
        <w:pStyle w:val="7"/>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赛项归属赛道：商贸赛道</w:t>
      </w:r>
    </w:p>
    <w:p w14:paraId="3B46CB3D">
      <w:pPr>
        <w:snapToGrid w:val="0"/>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二、竞赛目标</w:t>
      </w:r>
    </w:p>
    <w:p w14:paraId="3C93FAB8">
      <w:pPr>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本赛项以服务“构建国内国际双循环相互促进的新发展格局”为目标，以助力共建“一带一路”为推手，以推进中国特色海南自由贸易港建设为核心，以运用数字贸易技术和数字贸易工具，赋能外贸新业态新模式发展为驱动，瞄准世界高水平的国际贸易行业技能，在检验我省涉外商贸类专业教学成果的同时，搭建专业、课程、证书、竞赛机制改革平台，促进专业建设、教学改革的深入进行，助力提高专业教学质量和人才培养水平。</w:t>
      </w:r>
    </w:p>
    <w:p w14:paraId="325E403E">
      <w:pPr>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赛项设计充分发挥技能大赛树旗、导航、定标、催化作用，引领职业院校专业建设与课程改革，以高标准的竞赛内容为要求，实现对学生的团队协同创新能力、沟通能力、尽责抗压能力及专业岗位能力的综合检验；以高水平的技能竞赛质量为杠杆，努力营造全社会崇尚技能、拥有技能的氛围；以高品质的竞赛模式为抓手，全面推行“教、学、做、练、赛”一体化教学模式，推进“岗课赛证”综合育人，提高全省高等职业学校学生的参与度，以赛促学，以赛促教，以赛促改，为“互联网+”背景下国际贸易相关专业教育教学改革提供新的思路与方向，探索建立适应国际贸易新形势下的世界高水平职业岗位标准，为院校教学课程设置及岗位职业能力培养提供有效依据，从而实现产教深度融合，引领职业教育高质量发展。</w:t>
      </w:r>
    </w:p>
    <w:p w14:paraId="7930DF8A">
      <w:pPr>
        <w:snapToGrid w:val="0"/>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三、竞赛内容</w:t>
      </w:r>
    </w:p>
    <w:p w14:paraId="1678B0C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本竞赛分为外贸B2B模块、外贸履约模块、外贸B2C模块三项内容。</w:t>
      </w:r>
    </w:p>
    <w:p w14:paraId="01A6209A">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（一）外贸B2B模块</w:t>
      </w:r>
    </w:p>
    <w:p w14:paraId="6A6E81C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各参赛院校选手通过外贸B2B平台推广公司和产品，带来业务机会，并与模拟其他国家（或地区）公司的选手磋商交易，业务操作至合同签订为止。选手需在规定时间内争取尽量多的业务机会，体现业务多样性，同时还必须做好每笔业务的成本核算，实现利润最大化。</w:t>
      </w:r>
    </w:p>
    <w:p w14:paraId="6592A94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1.竞赛方式为上机竞赛；</w:t>
      </w:r>
    </w:p>
    <w:p w14:paraId="379C400B">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2.竞赛总时间为4小时；</w:t>
      </w:r>
    </w:p>
    <w:p w14:paraId="44E808A6">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3.竞赛形式为模拟不同国家间进行进出口贸易。每个参赛队的2组选手通过组内2名选手的团队合作，与其他参赛队伍开展进出口贸易；</w:t>
      </w:r>
    </w:p>
    <w:p w14:paraId="33F62C3E">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4.选手需完成外贸B2B平台推广、进出口交易磋商、进出口业务成本核算、进出口合同的缮制与审核等贸易流程；</w:t>
      </w:r>
    </w:p>
    <w:p w14:paraId="167757C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5.同一学校、同一参赛队、同一国家的选手无法进行交易；</w:t>
      </w:r>
    </w:p>
    <w:p w14:paraId="1480CB8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6.每笔业务进行至合同签订确认即告完成，无需完成后续履约过程。业务盈亏情况以相应预算表中实际发生额数字为准；</w:t>
      </w:r>
    </w:p>
    <w:p w14:paraId="6BA2264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7.所有业务采用统一的保险条款及投保加成，海运方式下按照“协会货物（A）险条款（ICC Clause A）＋战争险（War Risks）＋罢工险（Strike）”进行投保，空运方式下按照“航空运输一切险（Air Transportation All Risks）＋战争险（War Risks）＋罢工险（Strike）”进行投保，且投保加成统一为110%；</w:t>
      </w:r>
    </w:p>
    <w:p w14:paraId="6D56326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8.单笔业务成交金额不能超过公司当前资金，且不允许贷款；</w:t>
      </w:r>
    </w:p>
    <w:p w14:paraId="753A72E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9.每组选手可完成的业务笔数不超过20笔。</w:t>
      </w:r>
    </w:p>
    <w:p w14:paraId="6416A3C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本模块成绩占总成绩的50%。</w:t>
      </w:r>
    </w:p>
    <w:p w14:paraId="05787263">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（二）外贸履约模块</w:t>
      </w:r>
    </w:p>
    <w:p w14:paraId="2F41D4C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各参赛院校选手基于要求和背景资料完成外贸单证缮制和外贸履约问题解决方案设计两项任务。考察选手外贸单证缮制能力、外贸履约过程中发现问题、分析问题、解决问题的能力和团队合作意识。</w:t>
      </w:r>
    </w:p>
    <w:p w14:paraId="6EA9F176">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1.竞赛方式为上机竞赛；</w:t>
      </w:r>
    </w:p>
    <w:p w14:paraId="7F2E923B">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2.竞赛总时间为1小时；</w:t>
      </w:r>
    </w:p>
    <w:p w14:paraId="7AE47E3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3.每个参赛队的2名选手通过团队合作完成并提交指定任务所要求的文档；</w:t>
      </w:r>
    </w:p>
    <w:p w14:paraId="46E366E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4.选手需完成外贸单证缮制与外贸履约问题解决方案设计两项任务；</w:t>
      </w:r>
    </w:p>
    <w:p w14:paraId="57027DDA">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本模块成绩占总成绩的20%。</w:t>
      </w:r>
    </w:p>
    <w:p w14:paraId="2DE6F00A">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（三）外贸B2C模块</w:t>
      </w:r>
    </w:p>
    <w:p w14:paraId="1955EFBD">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各参赛院校选手通过外贸B2C数据运营推广公司和产品，以努力提升公司的投资回报率（ROI）为目标，以回合制竞争博弈为形式，对国际市场环境数据和公司运营结果数据进行挖掘与分析，完成外销产品开发、国内采购、产品上下架、国际市场定价、引流、国际物流配送、国际支付、财务管理等各个运营环节的决策实施，并且在逐次展开的回合中不断优化本公司的数据运营战略与决策。考察选手外贸B2C数据运营的需求意识、成本意识、风险意识、利润意识、竞争意识及数据挖掘分析能力和运营决策能力。</w:t>
      </w:r>
    </w:p>
    <w:p w14:paraId="44A3FDBB">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1.竞赛方式为上机竞赛；</w:t>
      </w:r>
    </w:p>
    <w:p w14:paraId="11F3F14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2.竞赛共计8回合，竞赛总时间为5小时；</w:t>
      </w:r>
    </w:p>
    <w:p w14:paraId="7B469709">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3.每个参赛队的2组选手通过组内2名选手的团队合作，开展外贸B2C数据运营，与其他参赛队模拟的同质企业在同一市场环境中展开竞争；</w:t>
      </w:r>
    </w:p>
    <w:p w14:paraId="44242699">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每回合开始后，参赛队可根据当前市场快讯、汇率、税收政策、仓储物流及海外仓信息、外贸B2C平台政策、竞品信息等，结合企业运营产生的财务、订单、利润、库存等数据，进行数据挖掘与分析，制定企业运营战略及决策，并在系统中实施；</w:t>
      </w:r>
    </w:p>
    <w:p w14:paraId="4A63D046">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5.每回合每店铺发布新商品数量上限为50个，每回合每店铺在售商品数量上限为100个；</w:t>
      </w:r>
    </w:p>
    <w:p w14:paraId="7852C53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6.每回合结束后，系统将根据当前所有参赛队所做的决策，结合当前市场环境进行运算，给出各参赛队运营结果与成绩。参赛队可根据运营结果对运营战略及决策进行优化，并付诸实施，直至比赛结束；</w:t>
      </w:r>
    </w:p>
    <w:p w14:paraId="05AE7C2B">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7.参赛队如出现资金链断裂等情况，可导致经营的公司破产。参赛队在公司破产后可重新创建公司继续经营，直至比赛结束。</w:t>
      </w:r>
    </w:p>
    <w:p w14:paraId="33308A6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本模块成绩占总成绩的30%。</w:t>
      </w:r>
    </w:p>
    <w:p w14:paraId="1A92D85F">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（四）赛项模块、比赛时长及分值配比</w:t>
      </w:r>
    </w:p>
    <w:tbl>
      <w:tblPr>
        <w:tblStyle w:val="16"/>
        <w:tblW w:w="89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1718"/>
        <w:gridCol w:w="3118"/>
        <w:gridCol w:w="1289"/>
        <w:gridCol w:w="1682"/>
      </w:tblGrid>
      <w:tr w14:paraId="21741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2889" w:type="dxa"/>
            <w:gridSpan w:val="2"/>
            <w:vAlign w:val="bottom"/>
          </w:tcPr>
          <w:p w14:paraId="4D30C912">
            <w:pPr>
              <w:adjustRightInd w:val="0"/>
              <w:snapToGrid w:val="0"/>
              <w:spacing w:line="360" w:lineRule="auto"/>
              <w:ind w:right="210" w:rightChars="100"/>
              <w:jc w:val="center"/>
              <w:rPr>
                <w:rFonts w:ascii="宋体" w:hAnsi="宋体" w:cs="仿宋_GB2312"/>
                <w:bCs/>
              </w:rPr>
            </w:pPr>
            <w:r>
              <w:rPr>
                <w:rFonts w:hint="eastAsia" w:ascii="宋体" w:hAnsi="宋体" w:cs="仿宋_GB2312"/>
                <w:bCs/>
              </w:rPr>
              <w:t>模块</w:t>
            </w:r>
          </w:p>
        </w:tc>
        <w:tc>
          <w:tcPr>
            <w:tcW w:w="3118" w:type="dxa"/>
            <w:vAlign w:val="bottom"/>
          </w:tcPr>
          <w:p w14:paraId="7FDAEEDF">
            <w:pPr>
              <w:adjustRightInd w:val="0"/>
              <w:snapToGrid w:val="0"/>
              <w:spacing w:line="360" w:lineRule="auto"/>
              <w:ind w:right="210" w:rightChars="100"/>
              <w:jc w:val="center"/>
              <w:rPr>
                <w:rFonts w:ascii="宋体" w:hAnsi="宋体" w:cs="仿宋_GB2312"/>
                <w:bCs/>
              </w:rPr>
            </w:pPr>
            <w:r>
              <w:rPr>
                <w:rFonts w:hint="eastAsia" w:ascii="宋体" w:hAnsi="宋体" w:cs="仿宋_GB2312"/>
                <w:bCs/>
              </w:rPr>
              <w:t>主要内容</w:t>
            </w:r>
          </w:p>
        </w:tc>
        <w:tc>
          <w:tcPr>
            <w:tcW w:w="1289" w:type="dxa"/>
            <w:vAlign w:val="bottom"/>
          </w:tcPr>
          <w:p w14:paraId="7ED34331">
            <w:pPr>
              <w:adjustRightInd w:val="0"/>
              <w:snapToGrid w:val="0"/>
              <w:spacing w:line="360" w:lineRule="auto"/>
              <w:ind w:right="210" w:rightChars="100"/>
              <w:jc w:val="center"/>
              <w:rPr>
                <w:rFonts w:ascii="宋体" w:hAnsi="宋体" w:cs="仿宋_GB2312"/>
                <w:bCs/>
              </w:rPr>
            </w:pPr>
            <w:r>
              <w:rPr>
                <w:rFonts w:hint="eastAsia" w:ascii="宋体" w:hAnsi="宋体" w:cs="仿宋_GB2312"/>
                <w:bCs/>
              </w:rPr>
              <w:t>比赛时长</w:t>
            </w:r>
          </w:p>
        </w:tc>
        <w:tc>
          <w:tcPr>
            <w:tcW w:w="1682" w:type="dxa"/>
            <w:vAlign w:val="bottom"/>
          </w:tcPr>
          <w:p w14:paraId="34B8A2E7">
            <w:pPr>
              <w:adjustRightInd w:val="0"/>
              <w:snapToGrid w:val="0"/>
              <w:spacing w:line="360" w:lineRule="auto"/>
              <w:ind w:right="210" w:rightChars="100"/>
              <w:jc w:val="center"/>
              <w:rPr>
                <w:rFonts w:ascii="宋体" w:hAnsi="宋体" w:cs="仿宋_GB2312"/>
                <w:bCs/>
              </w:rPr>
            </w:pPr>
            <w:r>
              <w:rPr>
                <w:rFonts w:hint="eastAsia" w:ascii="宋体" w:hAnsi="宋体" w:cs="仿宋_GB2312"/>
                <w:bCs/>
              </w:rPr>
              <w:t>分值</w:t>
            </w:r>
          </w:p>
        </w:tc>
      </w:tr>
      <w:tr w14:paraId="0B31A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1171" w:type="dxa"/>
            <w:vAlign w:val="center"/>
          </w:tcPr>
          <w:p w14:paraId="1210C4C4">
            <w:pPr>
              <w:adjustRightInd w:val="0"/>
              <w:snapToGrid w:val="0"/>
              <w:spacing w:line="360" w:lineRule="auto"/>
              <w:ind w:right="210" w:rightChars="100"/>
              <w:jc w:val="center"/>
              <w:rPr>
                <w:rFonts w:ascii="宋体" w:hAnsi="宋体" w:cs="仿宋_GB2312"/>
                <w:bCs/>
              </w:rPr>
            </w:pPr>
            <w:r>
              <w:rPr>
                <w:rFonts w:hint="eastAsia" w:ascii="宋体" w:hAnsi="宋体" w:cs="仿宋_GB2312"/>
                <w:bCs/>
              </w:rPr>
              <w:t>模块一</w:t>
            </w:r>
          </w:p>
        </w:tc>
        <w:tc>
          <w:tcPr>
            <w:tcW w:w="1718" w:type="dxa"/>
            <w:vAlign w:val="center"/>
          </w:tcPr>
          <w:p w14:paraId="4137AEBC">
            <w:pPr>
              <w:adjustRightInd w:val="0"/>
              <w:snapToGrid w:val="0"/>
              <w:spacing w:line="360" w:lineRule="auto"/>
              <w:ind w:right="210" w:rightChars="100"/>
              <w:jc w:val="center"/>
              <w:rPr>
                <w:rFonts w:ascii="宋体" w:hAnsi="宋体" w:cs="仿宋_GB2312"/>
                <w:bCs/>
              </w:rPr>
            </w:pPr>
            <w:r>
              <w:rPr>
                <w:rFonts w:hint="eastAsia" w:ascii="宋体" w:hAnsi="宋体" w:cs="仿宋_GB2312"/>
                <w:bCs/>
              </w:rPr>
              <w:t>外贸B2B模块</w:t>
            </w:r>
          </w:p>
        </w:tc>
        <w:tc>
          <w:tcPr>
            <w:tcW w:w="3118" w:type="dxa"/>
            <w:vAlign w:val="center"/>
          </w:tcPr>
          <w:p w14:paraId="3E2557F0">
            <w:pPr>
              <w:adjustRightInd w:val="0"/>
              <w:snapToGrid w:val="0"/>
              <w:spacing w:line="360" w:lineRule="auto"/>
              <w:ind w:right="210" w:rightChars="100"/>
              <w:rPr>
                <w:rFonts w:ascii="宋体" w:hAnsi="宋体" w:cs="仿宋_GB2312"/>
                <w:bCs/>
              </w:rPr>
            </w:pPr>
            <w:r>
              <w:rPr>
                <w:rFonts w:hint="eastAsia" w:ascii="宋体" w:hAnsi="宋体" w:cs="仿宋_GB2312"/>
                <w:bCs/>
              </w:rPr>
              <w:t>基于外贸B2B平台的产品展示、营销推广、进出口价格核算、成本控制、贸易磋商和合同签订。</w:t>
            </w:r>
          </w:p>
        </w:tc>
        <w:tc>
          <w:tcPr>
            <w:tcW w:w="1289" w:type="dxa"/>
            <w:vAlign w:val="center"/>
          </w:tcPr>
          <w:p w14:paraId="6C26AF72">
            <w:pPr>
              <w:adjustRightInd w:val="0"/>
              <w:snapToGrid w:val="0"/>
              <w:spacing w:line="360" w:lineRule="auto"/>
              <w:ind w:right="210" w:rightChars="100"/>
              <w:jc w:val="center"/>
              <w:rPr>
                <w:rFonts w:ascii="宋体" w:hAnsi="宋体" w:cs="仿宋_GB2312"/>
                <w:bCs/>
              </w:rPr>
            </w:pPr>
            <w:r>
              <w:rPr>
                <w:rFonts w:hint="eastAsia" w:ascii="宋体" w:hAnsi="宋体" w:cs="仿宋_GB2312"/>
                <w:bCs/>
              </w:rPr>
              <w:t>4小时</w:t>
            </w:r>
          </w:p>
        </w:tc>
        <w:tc>
          <w:tcPr>
            <w:tcW w:w="1682" w:type="dxa"/>
            <w:vAlign w:val="center"/>
          </w:tcPr>
          <w:p w14:paraId="38BC38D5">
            <w:pPr>
              <w:adjustRightInd w:val="0"/>
              <w:snapToGrid w:val="0"/>
              <w:spacing w:line="360" w:lineRule="auto"/>
              <w:ind w:right="210" w:rightChars="100"/>
              <w:jc w:val="center"/>
              <w:rPr>
                <w:rFonts w:ascii="宋体" w:hAnsi="宋体" w:cs="仿宋_GB2312"/>
                <w:bCs/>
              </w:rPr>
            </w:pPr>
            <w:r>
              <w:rPr>
                <w:rFonts w:hint="eastAsia" w:ascii="宋体" w:hAnsi="宋体" w:cs="仿宋_GB2312"/>
                <w:bCs/>
              </w:rPr>
              <w:t>100</w:t>
            </w:r>
          </w:p>
          <w:p w14:paraId="3D1672B7">
            <w:pPr>
              <w:adjustRightInd w:val="0"/>
              <w:snapToGrid w:val="0"/>
              <w:spacing w:line="360" w:lineRule="auto"/>
              <w:ind w:right="210" w:rightChars="100"/>
              <w:jc w:val="center"/>
              <w:rPr>
                <w:rFonts w:ascii="宋体" w:hAnsi="宋体" w:cs="仿宋_GB2312"/>
                <w:bCs/>
              </w:rPr>
            </w:pPr>
            <w:r>
              <w:rPr>
                <w:rFonts w:hint="eastAsia" w:ascii="宋体" w:hAnsi="宋体" w:cs="仿宋_GB2312"/>
                <w:bCs/>
              </w:rPr>
              <w:t>（占比</w:t>
            </w:r>
            <w:r>
              <w:rPr>
                <w:rFonts w:ascii="宋体" w:hAnsi="宋体" w:cs="仿宋_GB2312"/>
                <w:bCs/>
              </w:rPr>
              <w:t>50%</w:t>
            </w:r>
            <w:r>
              <w:rPr>
                <w:rFonts w:hint="eastAsia" w:ascii="宋体" w:hAnsi="宋体" w:cs="仿宋_GB2312"/>
                <w:bCs/>
              </w:rPr>
              <w:t>）</w:t>
            </w:r>
          </w:p>
        </w:tc>
      </w:tr>
      <w:tr w14:paraId="5F93D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1171" w:type="dxa"/>
            <w:vAlign w:val="center"/>
          </w:tcPr>
          <w:p w14:paraId="13062062">
            <w:pPr>
              <w:adjustRightInd w:val="0"/>
              <w:snapToGrid w:val="0"/>
              <w:spacing w:line="360" w:lineRule="auto"/>
              <w:ind w:right="210" w:rightChars="100"/>
              <w:jc w:val="center"/>
              <w:rPr>
                <w:rFonts w:ascii="宋体" w:hAnsi="宋体" w:cs="仿宋_GB2312"/>
                <w:bCs/>
              </w:rPr>
            </w:pPr>
            <w:r>
              <w:rPr>
                <w:rFonts w:hint="eastAsia" w:ascii="宋体" w:hAnsi="宋体" w:cs="仿宋_GB2312"/>
                <w:bCs/>
              </w:rPr>
              <w:t>模块二</w:t>
            </w:r>
          </w:p>
        </w:tc>
        <w:tc>
          <w:tcPr>
            <w:tcW w:w="1718" w:type="dxa"/>
            <w:vAlign w:val="center"/>
          </w:tcPr>
          <w:p w14:paraId="4FE8F4C6">
            <w:pPr>
              <w:adjustRightInd w:val="0"/>
              <w:snapToGrid w:val="0"/>
              <w:spacing w:line="360" w:lineRule="auto"/>
              <w:ind w:right="210" w:rightChars="100"/>
              <w:jc w:val="center"/>
              <w:rPr>
                <w:rFonts w:ascii="宋体" w:hAnsi="宋体" w:cs="仿宋_GB2312"/>
                <w:bCs/>
              </w:rPr>
            </w:pPr>
            <w:r>
              <w:rPr>
                <w:rFonts w:hint="eastAsia" w:ascii="宋体" w:hAnsi="宋体" w:cs="仿宋_GB2312"/>
                <w:bCs/>
              </w:rPr>
              <w:t>外贸履约模块</w:t>
            </w:r>
          </w:p>
        </w:tc>
        <w:tc>
          <w:tcPr>
            <w:tcW w:w="3118" w:type="dxa"/>
            <w:vAlign w:val="center"/>
          </w:tcPr>
          <w:p w14:paraId="21E2E6AF">
            <w:pPr>
              <w:adjustRightInd w:val="0"/>
              <w:snapToGrid w:val="0"/>
              <w:spacing w:line="360" w:lineRule="auto"/>
              <w:ind w:right="210" w:rightChars="100"/>
              <w:rPr>
                <w:rFonts w:ascii="宋体" w:hAnsi="宋体" w:cs="仿宋_GB2312"/>
                <w:bCs/>
              </w:rPr>
            </w:pPr>
            <w:r>
              <w:rPr>
                <w:rFonts w:hint="eastAsia" w:ascii="宋体" w:hAnsi="宋体" w:cs="仿宋_GB2312"/>
                <w:bCs/>
              </w:rPr>
              <w:t>基于要求和背景资料完成外贸单证缮制和外贸履约问题解决方案设计两项任务。</w:t>
            </w:r>
          </w:p>
        </w:tc>
        <w:tc>
          <w:tcPr>
            <w:tcW w:w="1289" w:type="dxa"/>
            <w:vAlign w:val="center"/>
          </w:tcPr>
          <w:p w14:paraId="33700172">
            <w:pPr>
              <w:adjustRightInd w:val="0"/>
              <w:snapToGrid w:val="0"/>
              <w:spacing w:line="360" w:lineRule="auto"/>
              <w:ind w:right="210" w:rightChars="100"/>
              <w:jc w:val="center"/>
              <w:rPr>
                <w:rFonts w:ascii="宋体" w:hAnsi="宋体" w:cs="仿宋_GB2312"/>
                <w:bCs/>
              </w:rPr>
            </w:pPr>
            <w:r>
              <w:rPr>
                <w:rFonts w:ascii="宋体" w:hAnsi="宋体" w:cs="仿宋_GB2312"/>
                <w:bCs/>
              </w:rPr>
              <w:t>1</w:t>
            </w:r>
            <w:r>
              <w:rPr>
                <w:rFonts w:hint="eastAsia" w:ascii="宋体" w:hAnsi="宋体" w:cs="仿宋_GB2312"/>
                <w:bCs/>
              </w:rPr>
              <w:t>小时</w:t>
            </w:r>
          </w:p>
        </w:tc>
        <w:tc>
          <w:tcPr>
            <w:tcW w:w="1682" w:type="dxa"/>
            <w:vAlign w:val="center"/>
          </w:tcPr>
          <w:p w14:paraId="34B5DF30">
            <w:pPr>
              <w:adjustRightInd w:val="0"/>
              <w:snapToGrid w:val="0"/>
              <w:spacing w:line="360" w:lineRule="auto"/>
              <w:ind w:right="210" w:rightChars="100"/>
              <w:jc w:val="center"/>
              <w:rPr>
                <w:rFonts w:ascii="宋体" w:hAnsi="宋体" w:cs="仿宋_GB2312"/>
                <w:bCs/>
              </w:rPr>
            </w:pPr>
            <w:r>
              <w:rPr>
                <w:rFonts w:hint="eastAsia" w:ascii="宋体" w:hAnsi="宋体" w:cs="仿宋_GB2312"/>
                <w:bCs/>
              </w:rPr>
              <w:t>100</w:t>
            </w:r>
          </w:p>
          <w:p w14:paraId="1EB982BC">
            <w:pPr>
              <w:adjustRightInd w:val="0"/>
              <w:snapToGrid w:val="0"/>
              <w:spacing w:line="360" w:lineRule="auto"/>
              <w:ind w:right="210" w:rightChars="100"/>
              <w:jc w:val="center"/>
              <w:rPr>
                <w:rFonts w:ascii="宋体" w:hAnsi="宋体" w:cs="仿宋_GB2312"/>
                <w:bCs/>
              </w:rPr>
            </w:pPr>
            <w:r>
              <w:rPr>
                <w:rFonts w:hint="eastAsia" w:ascii="宋体" w:hAnsi="宋体" w:cs="仿宋_GB2312"/>
                <w:bCs/>
              </w:rPr>
              <w:t>（占比</w:t>
            </w:r>
            <w:r>
              <w:rPr>
                <w:rFonts w:ascii="宋体" w:hAnsi="宋体" w:cs="仿宋_GB2312"/>
                <w:bCs/>
              </w:rPr>
              <w:t>20%</w:t>
            </w:r>
            <w:r>
              <w:rPr>
                <w:rFonts w:hint="eastAsia" w:ascii="宋体" w:hAnsi="宋体" w:cs="仿宋_GB2312"/>
                <w:bCs/>
              </w:rPr>
              <w:t>）</w:t>
            </w:r>
          </w:p>
        </w:tc>
      </w:tr>
      <w:tr w14:paraId="36D4D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1171" w:type="dxa"/>
            <w:vAlign w:val="center"/>
          </w:tcPr>
          <w:p w14:paraId="670810B6">
            <w:pPr>
              <w:adjustRightInd w:val="0"/>
              <w:snapToGrid w:val="0"/>
              <w:spacing w:line="360" w:lineRule="auto"/>
              <w:ind w:right="210" w:rightChars="100"/>
              <w:jc w:val="center"/>
              <w:rPr>
                <w:rFonts w:ascii="宋体" w:hAnsi="宋体" w:cs="仿宋_GB2312"/>
                <w:bCs/>
              </w:rPr>
            </w:pPr>
            <w:r>
              <w:rPr>
                <w:rFonts w:hint="eastAsia" w:ascii="宋体" w:hAnsi="宋体" w:cs="仿宋_GB2312"/>
                <w:bCs/>
              </w:rPr>
              <w:t>模块三</w:t>
            </w:r>
          </w:p>
        </w:tc>
        <w:tc>
          <w:tcPr>
            <w:tcW w:w="1718" w:type="dxa"/>
            <w:vAlign w:val="center"/>
          </w:tcPr>
          <w:p w14:paraId="595DEBBC">
            <w:pPr>
              <w:adjustRightInd w:val="0"/>
              <w:snapToGrid w:val="0"/>
              <w:spacing w:line="360" w:lineRule="auto"/>
              <w:ind w:right="210" w:rightChars="100"/>
              <w:jc w:val="center"/>
              <w:rPr>
                <w:rFonts w:ascii="宋体" w:hAnsi="宋体" w:cs="仿宋_GB2312"/>
                <w:bCs/>
              </w:rPr>
            </w:pPr>
            <w:r>
              <w:rPr>
                <w:rFonts w:hint="eastAsia" w:ascii="宋体" w:hAnsi="宋体" w:cs="仿宋_GB2312"/>
                <w:bCs/>
              </w:rPr>
              <w:t>外贸B</w:t>
            </w:r>
            <w:r>
              <w:rPr>
                <w:rFonts w:ascii="宋体" w:hAnsi="宋体" w:cs="仿宋_GB2312"/>
                <w:bCs/>
              </w:rPr>
              <w:t>2C</w:t>
            </w:r>
            <w:r>
              <w:rPr>
                <w:rFonts w:hint="eastAsia" w:ascii="宋体" w:hAnsi="宋体" w:cs="仿宋_GB2312"/>
                <w:bCs/>
              </w:rPr>
              <w:t>模块</w:t>
            </w:r>
          </w:p>
        </w:tc>
        <w:tc>
          <w:tcPr>
            <w:tcW w:w="3118" w:type="dxa"/>
            <w:vAlign w:val="center"/>
          </w:tcPr>
          <w:p w14:paraId="0CBBD6E9">
            <w:pPr>
              <w:adjustRightInd w:val="0"/>
              <w:snapToGrid w:val="0"/>
              <w:spacing w:line="360" w:lineRule="auto"/>
              <w:ind w:right="210" w:rightChars="100"/>
              <w:rPr>
                <w:rFonts w:ascii="宋体" w:hAnsi="宋体" w:cs="仿宋_GB2312"/>
                <w:bCs/>
              </w:rPr>
            </w:pPr>
            <w:r>
              <w:rPr>
                <w:rFonts w:hint="eastAsia" w:ascii="宋体" w:hAnsi="宋体" w:cs="仿宋_GB2312"/>
                <w:bCs/>
              </w:rPr>
              <w:t>基于外贸B2C数据挖掘及分析，开展商品开发及采购、营销推广、价格核算、国际物流管理、财务管理等运营活动。</w:t>
            </w:r>
          </w:p>
        </w:tc>
        <w:tc>
          <w:tcPr>
            <w:tcW w:w="1289" w:type="dxa"/>
            <w:vAlign w:val="center"/>
          </w:tcPr>
          <w:p w14:paraId="31C6D2CA">
            <w:pPr>
              <w:adjustRightInd w:val="0"/>
              <w:snapToGrid w:val="0"/>
              <w:spacing w:line="360" w:lineRule="auto"/>
              <w:ind w:right="210" w:rightChars="100"/>
              <w:jc w:val="center"/>
              <w:rPr>
                <w:rFonts w:ascii="宋体" w:hAnsi="宋体" w:cs="仿宋_GB2312"/>
                <w:bCs/>
              </w:rPr>
            </w:pPr>
            <w:r>
              <w:rPr>
                <w:rFonts w:hint="eastAsia" w:ascii="宋体" w:hAnsi="宋体" w:cs="仿宋_GB2312"/>
                <w:bCs/>
              </w:rPr>
              <w:t>5小时</w:t>
            </w:r>
          </w:p>
        </w:tc>
        <w:tc>
          <w:tcPr>
            <w:tcW w:w="1682" w:type="dxa"/>
            <w:vAlign w:val="center"/>
          </w:tcPr>
          <w:p w14:paraId="6BB66862">
            <w:pPr>
              <w:adjustRightInd w:val="0"/>
              <w:snapToGrid w:val="0"/>
              <w:spacing w:line="360" w:lineRule="auto"/>
              <w:ind w:right="210" w:rightChars="100"/>
              <w:jc w:val="center"/>
              <w:rPr>
                <w:rFonts w:ascii="宋体" w:hAnsi="宋体" w:cs="仿宋_GB2312"/>
                <w:bCs/>
              </w:rPr>
            </w:pPr>
            <w:r>
              <w:rPr>
                <w:rFonts w:hint="eastAsia" w:ascii="宋体" w:hAnsi="宋体" w:cs="仿宋_GB2312"/>
                <w:bCs/>
              </w:rPr>
              <w:t>100</w:t>
            </w:r>
          </w:p>
          <w:p w14:paraId="2D419C0A">
            <w:pPr>
              <w:adjustRightInd w:val="0"/>
              <w:snapToGrid w:val="0"/>
              <w:spacing w:line="360" w:lineRule="auto"/>
              <w:ind w:right="210" w:rightChars="100"/>
              <w:jc w:val="center"/>
              <w:rPr>
                <w:rFonts w:ascii="宋体" w:hAnsi="宋体" w:cs="仿宋_GB2312"/>
                <w:bCs/>
              </w:rPr>
            </w:pPr>
            <w:r>
              <w:rPr>
                <w:rFonts w:hint="eastAsia" w:ascii="宋体" w:hAnsi="宋体" w:cs="仿宋_GB2312"/>
                <w:bCs/>
              </w:rPr>
              <w:t>（占比</w:t>
            </w:r>
            <w:r>
              <w:rPr>
                <w:rFonts w:ascii="宋体" w:hAnsi="宋体" w:cs="仿宋_GB2312"/>
                <w:bCs/>
              </w:rPr>
              <w:t>30%</w:t>
            </w:r>
            <w:r>
              <w:rPr>
                <w:rFonts w:hint="eastAsia" w:ascii="宋体" w:hAnsi="宋体" w:cs="仿宋_GB2312"/>
                <w:bCs/>
              </w:rPr>
              <w:t>）</w:t>
            </w:r>
          </w:p>
        </w:tc>
      </w:tr>
    </w:tbl>
    <w:p w14:paraId="1389366B">
      <w:pPr>
        <w:pStyle w:val="7"/>
      </w:pPr>
    </w:p>
    <w:p w14:paraId="1639C17D">
      <w:pPr>
        <w:snapToGrid w:val="0"/>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四、竞赛方式</w:t>
      </w:r>
    </w:p>
    <w:p w14:paraId="3D96A0A8">
      <w:pPr>
        <w:spacing w:line="600" w:lineRule="exact"/>
        <w:ind w:firstLine="640" w:firstLineChars="200"/>
      </w:pPr>
      <w:r>
        <w:rPr>
          <w:rFonts w:hint="eastAsia" w:ascii="仿宋_GB2312" w:hAnsi="仿宋_GB2312" w:eastAsia="仿宋_GB2312" w:cs="仿宋_GB2312"/>
          <w:color w:val="auto"/>
          <w:sz w:val="32"/>
          <w:szCs w:val="32"/>
          <w:lang w:eastAsia="zh-CN"/>
        </w:rPr>
        <w:t>本次</w:t>
      </w:r>
      <w:r>
        <w:rPr>
          <w:rFonts w:hint="eastAsia" w:ascii="仿宋_GB2312" w:hAnsi="仿宋_GB2312" w:eastAsia="仿宋_GB2312" w:cs="仿宋_GB2312"/>
          <w:color w:val="auto"/>
          <w:sz w:val="32"/>
          <w:szCs w:val="32"/>
        </w:rPr>
        <w:t>竞赛以线下比赛的形式进行</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竞赛组队方式为团体赛,参赛选手须为</w:t>
      </w:r>
      <w:r>
        <w:rPr>
          <w:rFonts w:hint="eastAsia" w:ascii="仿宋_GB2312" w:hAnsi="仿宋_GB2312" w:eastAsia="仿宋_GB2312" w:cs="仿宋_GB2312"/>
          <w:color w:val="auto"/>
          <w:sz w:val="32"/>
          <w:szCs w:val="32"/>
          <w:lang w:val="en-US" w:eastAsia="zh-CN"/>
        </w:rPr>
        <w:t>高等学校</w:t>
      </w:r>
      <w:r>
        <w:rPr>
          <w:rFonts w:hint="eastAsia" w:ascii="仿宋_GB2312" w:hAnsi="仿宋_GB2312" w:eastAsia="仿宋_GB2312" w:cs="仿宋_GB2312"/>
          <w:color w:val="auto"/>
          <w:sz w:val="32"/>
          <w:szCs w:val="32"/>
        </w:rPr>
        <w:t>全日制</w:t>
      </w:r>
      <w:r>
        <w:rPr>
          <w:rFonts w:hint="eastAsia" w:ascii="仿宋_GB2312" w:hAnsi="仿宋_GB2312" w:eastAsia="仿宋_GB2312" w:cs="仿宋_GB2312"/>
          <w:color w:val="auto"/>
          <w:sz w:val="32"/>
          <w:szCs w:val="32"/>
          <w:lang w:val="en-US" w:eastAsia="zh-CN"/>
        </w:rPr>
        <w:t>在</w:t>
      </w:r>
      <w:r>
        <w:rPr>
          <w:rFonts w:hint="eastAsia" w:ascii="仿宋_GB2312" w:hAnsi="仿宋_GB2312" w:eastAsia="仿宋_GB2312" w:cs="仿宋_GB2312"/>
          <w:color w:val="auto"/>
          <w:sz w:val="32"/>
          <w:szCs w:val="32"/>
        </w:rPr>
        <w:t>籍</w:t>
      </w:r>
      <w:r>
        <w:rPr>
          <w:rFonts w:hint="eastAsia" w:ascii="仿宋_GB2312" w:hAnsi="仿宋_GB2312" w:eastAsia="仿宋_GB2312" w:cs="仿宋_GB2312"/>
          <w:color w:val="auto"/>
          <w:sz w:val="32"/>
          <w:szCs w:val="32"/>
          <w:lang w:val="en-US" w:eastAsia="zh-CN"/>
        </w:rPr>
        <w:t>高职高专类学</w:t>
      </w:r>
      <w:r>
        <w:rPr>
          <w:rFonts w:hint="eastAsia" w:ascii="仿宋_GB2312" w:hAnsi="仿宋_GB2312" w:eastAsia="仿宋_GB2312" w:cs="仿宋_GB2312"/>
          <w:color w:val="auto"/>
          <w:sz w:val="32"/>
          <w:szCs w:val="32"/>
        </w:rPr>
        <w:t>生。高职组参赛选手年龄不超过25周岁（即</w:t>
      </w:r>
      <w:r>
        <w:rPr>
          <w:rFonts w:hint="eastAsia" w:ascii="仿宋_GB2312" w:hAnsi="仿宋_GB2312" w:eastAsia="仿宋_GB2312" w:cs="仿宋_GB2312"/>
          <w:color w:val="auto"/>
          <w:sz w:val="32"/>
          <w:szCs w:val="32"/>
          <w:lang w:val="en-US" w:eastAsia="zh-CN"/>
        </w:rPr>
        <w:t>2002</w:t>
      </w:r>
      <w:r>
        <w:rPr>
          <w:rFonts w:hint="eastAsia" w:ascii="仿宋_GB2312" w:hAnsi="仿宋_GB2312" w:eastAsia="仿宋_GB2312" w:cs="仿宋_GB2312"/>
          <w:color w:val="auto"/>
          <w:sz w:val="32"/>
          <w:szCs w:val="32"/>
        </w:rPr>
        <w:t>年</w:t>
      </w:r>
      <w:bookmarkStart w:id="3" w:name="_GoBack"/>
      <w:bookmarkEnd w:id="3"/>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日及以后出生)</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五年制高职学生报名参赛的，四、五年级学生参加高职组比赛。在</w:t>
      </w:r>
      <w:r>
        <w:rPr>
          <w:rFonts w:hint="eastAsia" w:ascii="仿宋_GB2312" w:hAnsi="仿宋_GB2312" w:eastAsia="仿宋_GB2312" w:cs="仿宋_GB2312"/>
          <w:color w:val="auto"/>
          <w:sz w:val="32"/>
          <w:szCs w:val="32"/>
          <w:lang w:val="en-US" w:eastAsia="zh-CN"/>
        </w:rPr>
        <w:t>2025</w:t>
      </w:r>
      <w:r>
        <w:rPr>
          <w:rFonts w:hint="eastAsia" w:ascii="仿宋_GB2312" w:hAnsi="仿宋_GB2312" w:eastAsia="仿宋_GB2312" w:cs="仿宋_GB2312"/>
          <w:color w:val="auto"/>
          <w:sz w:val="32"/>
          <w:szCs w:val="32"/>
        </w:rPr>
        <w:t>年世界职业院校技能大赛</w:t>
      </w:r>
      <w:r>
        <w:rPr>
          <w:rFonts w:hint="eastAsia" w:ascii="仿宋_GB2312" w:hAnsi="仿宋_GB2312" w:eastAsia="仿宋_GB2312" w:cs="仿宋_GB2312"/>
          <w:color w:val="auto"/>
          <w:sz w:val="32"/>
          <w:szCs w:val="32"/>
          <w:lang w:val="en-US" w:eastAsia="zh-CN"/>
        </w:rPr>
        <w:t>争夺赛</w:t>
      </w:r>
      <w:r>
        <w:rPr>
          <w:rFonts w:hint="eastAsia" w:ascii="仿宋_GB2312" w:hAnsi="仿宋_GB2312" w:eastAsia="仿宋_GB2312" w:cs="仿宋_GB2312"/>
          <w:color w:val="auto"/>
          <w:sz w:val="32"/>
          <w:szCs w:val="32"/>
        </w:rPr>
        <w:t>中获</w:t>
      </w:r>
      <w:r>
        <w:rPr>
          <w:rFonts w:hint="eastAsia" w:ascii="仿宋_GB2312" w:hAnsi="仿宋_GB2312" w:eastAsia="仿宋_GB2312" w:cs="仿宋_GB2312"/>
          <w:color w:val="auto"/>
          <w:sz w:val="32"/>
          <w:szCs w:val="32"/>
          <w:lang w:val="en-US" w:eastAsia="zh-CN"/>
        </w:rPr>
        <w:t>一等</w:t>
      </w:r>
      <w:r>
        <w:rPr>
          <w:rFonts w:hint="eastAsia" w:ascii="仿宋_GB2312" w:hAnsi="仿宋_GB2312" w:eastAsia="仿宋_GB2312" w:cs="仿宋_GB2312"/>
          <w:color w:val="auto"/>
          <w:sz w:val="32"/>
          <w:szCs w:val="32"/>
        </w:rPr>
        <w:t>奖的</w:t>
      </w:r>
      <w:r>
        <w:rPr>
          <w:rFonts w:hint="eastAsia" w:ascii="仿宋_GB2312" w:hAnsi="仿宋_GB2312" w:eastAsia="仿宋_GB2312" w:cs="仿宋_GB2312"/>
          <w:color w:val="auto"/>
          <w:sz w:val="32"/>
          <w:szCs w:val="32"/>
          <w:lang w:val="en-US" w:eastAsia="zh-CN"/>
        </w:rPr>
        <w:t>选手</w:t>
      </w:r>
      <w:r>
        <w:rPr>
          <w:rFonts w:hint="eastAsia" w:ascii="仿宋_GB2312" w:hAnsi="仿宋_GB2312" w:eastAsia="仿宋_GB2312" w:cs="仿宋_GB2312"/>
          <w:color w:val="auto"/>
          <w:sz w:val="32"/>
          <w:szCs w:val="32"/>
        </w:rPr>
        <w:t>，不</w:t>
      </w:r>
      <w:r>
        <w:rPr>
          <w:rFonts w:hint="eastAsia" w:ascii="仿宋_GB2312" w:hAnsi="仿宋_GB2312" w:eastAsia="仿宋_GB2312" w:cs="仿宋_GB2312"/>
          <w:color w:val="auto"/>
          <w:sz w:val="32"/>
          <w:szCs w:val="32"/>
          <w:lang w:val="en-US" w:eastAsia="zh-CN"/>
        </w:rPr>
        <w:t>能</w:t>
      </w:r>
      <w:r>
        <w:rPr>
          <w:rFonts w:hint="eastAsia" w:ascii="仿宋_GB2312" w:hAnsi="仿宋_GB2312" w:eastAsia="仿宋_GB2312" w:cs="仿宋_GB2312"/>
          <w:color w:val="auto"/>
          <w:sz w:val="32"/>
          <w:szCs w:val="32"/>
        </w:rPr>
        <w:t>再参加同一项目（同一组别）的全省竞赛。团体赛不得跨校组队。每个学校限报3支队伍。每队4名选手（鼓励有条件的院校选派</w:t>
      </w:r>
      <w:r>
        <w:rPr>
          <w:rFonts w:hint="eastAsia" w:ascii="仿宋_GB2312" w:hAnsi="仿宋_GB2312" w:eastAsia="仿宋_GB2312" w:cs="仿宋_GB2312"/>
          <w:sz w:val="32"/>
          <w:szCs w:val="32"/>
        </w:rPr>
        <w:t>在籍留学生参与组队），限报2名指导教师，指导教师须为本校专兼职教师。外贸B2B模块、外贸B2C模块由每支队伍的4名学生以自由组合方式自行分为2组，共同参加竞赛；外贸履约模块由每支队伍的2名学生共同参加竞赛；分组一旦确定不可更改。</w:t>
      </w:r>
    </w:p>
    <w:p w14:paraId="3CB5A270">
      <w:pPr>
        <w:snapToGrid w:val="0"/>
        <w:spacing w:line="560" w:lineRule="exact"/>
        <w:ind w:firstLine="640" w:firstLineChars="200"/>
        <w:rPr>
          <w:rFonts w:ascii="黑体" w:hAnsi="黑体" w:eastAsia="黑体" w:cs="黑体"/>
          <w:kern w:val="0"/>
          <w:sz w:val="32"/>
          <w:szCs w:val="32"/>
        </w:rPr>
      </w:pPr>
      <w:r>
        <w:rPr>
          <w:rFonts w:hint="eastAsia" w:ascii="黑体" w:hAnsi="黑体" w:eastAsia="黑体" w:cs="黑体"/>
          <w:kern w:val="0"/>
          <w:sz w:val="32"/>
          <w:szCs w:val="32"/>
        </w:rPr>
        <w:t>五、竞赛流程</w:t>
      </w:r>
    </w:p>
    <w:p w14:paraId="3C97FAF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竞赛日程、比赛场次安排及参赛选手的竞技过程如下：</w:t>
      </w:r>
    </w:p>
    <w:tbl>
      <w:tblPr>
        <w:tblStyle w:val="16"/>
        <w:tblW w:w="81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1"/>
        <w:gridCol w:w="1681"/>
        <w:gridCol w:w="1900"/>
        <w:gridCol w:w="1355"/>
        <w:gridCol w:w="1213"/>
        <w:gridCol w:w="1082"/>
      </w:tblGrid>
      <w:tr w14:paraId="3F589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951" w:type="dxa"/>
            <w:vAlign w:val="center"/>
          </w:tcPr>
          <w:p w14:paraId="6461C33E">
            <w:pPr>
              <w:shd w:val="solid" w:color="FFFFFF" w:fill="auto"/>
              <w:autoSpaceDN w:val="0"/>
              <w:adjustRightInd w:val="0"/>
              <w:snapToGrid w:val="0"/>
              <w:jc w:val="center"/>
              <w:rPr>
                <w:rFonts w:ascii="宋体" w:hAnsi="宋体"/>
                <w:b/>
                <w:shd w:val="clear" w:color="auto" w:fill="FFFFFF"/>
              </w:rPr>
            </w:pPr>
            <w:r>
              <w:rPr>
                <w:rFonts w:hint="eastAsia" w:ascii="宋体" w:hAnsi="宋体"/>
                <w:b/>
                <w:shd w:val="clear" w:color="auto" w:fill="FFFFFF"/>
              </w:rPr>
              <w:t>日期</w:t>
            </w:r>
          </w:p>
        </w:tc>
        <w:tc>
          <w:tcPr>
            <w:tcW w:w="1681" w:type="dxa"/>
            <w:vAlign w:val="center"/>
          </w:tcPr>
          <w:p w14:paraId="48DA2CA5">
            <w:pPr>
              <w:shd w:val="solid" w:color="FFFFFF" w:fill="auto"/>
              <w:autoSpaceDN w:val="0"/>
              <w:adjustRightInd w:val="0"/>
              <w:snapToGrid w:val="0"/>
              <w:jc w:val="center"/>
              <w:rPr>
                <w:rFonts w:ascii="宋体" w:hAnsi="宋体"/>
                <w:b/>
                <w:shd w:val="clear" w:color="auto" w:fill="FFFFFF"/>
              </w:rPr>
            </w:pPr>
            <w:r>
              <w:rPr>
                <w:rFonts w:hint="eastAsia" w:ascii="宋体" w:hAnsi="宋体"/>
                <w:b/>
                <w:shd w:val="clear" w:color="auto" w:fill="FFFFFF"/>
              </w:rPr>
              <w:t>时间</w:t>
            </w:r>
          </w:p>
        </w:tc>
        <w:tc>
          <w:tcPr>
            <w:tcW w:w="1900" w:type="dxa"/>
            <w:vAlign w:val="center"/>
          </w:tcPr>
          <w:p w14:paraId="30F7543C">
            <w:pPr>
              <w:shd w:val="solid" w:color="FFFFFF" w:fill="auto"/>
              <w:autoSpaceDN w:val="0"/>
              <w:adjustRightInd w:val="0"/>
              <w:snapToGrid w:val="0"/>
              <w:jc w:val="center"/>
              <w:rPr>
                <w:rFonts w:ascii="宋体" w:hAnsi="宋体"/>
                <w:b/>
                <w:shd w:val="clear" w:color="auto" w:fill="FFFFFF"/>
              </w:rPr>
            </w:pPr>
            <w:r>
              <w:rPr>
                <w:rFonts w:hint="eastAsia" w:ascii="宋体" w:hAnsi="宋体"/>
                <w:b/>
                <w:shd w:val="clear" w:color="auto" w:fill="FFFFFF"/>
              </w:rPr>
              <w:t>事项</w:t>
            </w:r>
          </w:p>
        </w:tc>
        <w:tc>
          <w:tcPr>
            <w:tcW w:w="1355" w:type="dxa"/>
            <w:vAlign w:val="center"/>
          </w:tcPr>
          <w:p w14:paraId="0F821127">
            <w:pPr>
              <w:shd w:val="solid" w:color="FFFFFF" w:fill="auto"/>
              <w:autoSpaceDN w:val="0"/>
              <w:adjustRightInd w:val="0"/>
              <w:snapToGrid w:val="0"/>
              <w:jc w:val="center"/>
              <w:rPr>
                <w:rFonts w:ascii="宋体" w:hAnsi="宋体"/>
                <w:b/>
                <w:shd w:val="clear" w:color="auto" w:fill="FFFFFF"/>
              </w:rPr>
            </w:pPr>
            <w:r>
              <w:rPr>
                <w:rFonts w:hint="eastAsia" w:ascii="宋体" w:hAnsi="宋体"/>
                <w:b/>
                <w:shd w:val="clear" w:color="auto" w:fill="FFFFFF"/>
              </w:rPr>
              <w:t>参加人员</w:t>
            </w:r>
          </w:p>
        </w:tc>
        <w:tc>
          <w:tcPr>
            <w:tcW w:w="1213" w:type="dxa"/>
            <w:vAlign w:val="center"/>
          </w:tcPr>
          <w:p w14:paraId="3855413F">
            <w:pPr>
              <w:shd w:val="solid" w:color="FFFFFF" w:fill="auto"/>
              <w:autoSpaceDN w:val="0"/>
              <w:adjustRightInd w:val="0"/>
              <w:snapToGrid w:val="0"/>
              <w:jc w:val="center"/>
              <w:rPr>
                <w:rFonts w:ascii="宋体" w:hAnsi="宋体"/>
                <w:b/>
                <w:shd w:val="clear" w:color="auto" w:fill="FFFFFF"/>
              </w:rPr>
            </w:pPr>
            <w:r>
              <w:rPr>
                <w:rFonts w:hint="eastAsia" w:ascii="宋体" w:hAnsi="宋体"/>
                <w:b/>
                <w:shd w:val="clear" w:color="auto" w:fill="FFFFFF"/>
              </w:rPr>
              <w:t>地点</w:t>
            </w:r>
          </w:p>
        </w:tc>
        <w:tc>
          <w:tcPr>
            <w:tcW w:w="1082" w:type="dxa"/>
            <w:vAlign w:val="center"/>
          </w:tcPr>
          <w:p w14:paraId="03FA03ED">
            <w:pPr>
              <w:shd w:val="solid" w:color="FFFFFF" w:fill="auto"/>
              <w:autoSpaceDN w:val="0"/>
              <w:adjustRightInd w:val="0"/>
              <w:snapToGrid w:val="0"/>
              <w:jc w:val="center"/>
              <w:rPr>
                <w:rFonts w:ascii="宋体" w:hAnsi="宋体"/>
                <w:b/>
                <w:shd w:val="clear" w:color="auto" w:fill="FFFFFF"/>
              </w:rPr>
            </w:pPr>
            <w:r>
              <w:rPr>
                <w:rFonts w:hint="eastAsia" w:ascii="宋体" w:hAnsi="宋体"/>
                <w:b/>
                <w:shd w:val="clear" w:color="auto" w:fill="FFFFFF"/>
              </w:rPr>
              <w:t>备注</w:t>
            </w:r>
          </w:p>
        </w:tc>
      </w:tr>
      <w:tr w14:paraId="29CD1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vMerge w:val="restart"/>
            <w:vAlign w:val="center"/>
          </w:tcPr>
          <w:p w14:paraId="317FAE7B">
            <w:pPr>
              <w:shd w:val="solid" w:color="FFFFFF" w:fill="auto"/>
              <w:autoSpaceDN w:val="0"/>
              <w:adjustRightInd w:val="0"/>
              <w:snapToGrid w:val="0"/>
              <w:ind w:firstLine="105" w:firstLineChars="50"/>
              <w:jc w:val="center"/>
              <w:rPr>
                <w:rFonts w:ascii="宋体" w:hAnsi="宋体"/>
                <w:shd w:val="clear" w:color="auto" w:fill="FFFFFF"/>
              </w:rPr>
            </w:pPr>
            <w:r>
              <w:rPr>
                <w:rFonts w:hint="eastAsia" w:ascii="宋体" w:hAnsi="宋体"/>
                <w:shd w:val="clear" w:color="auto" w:fill="FFFFFF"/>
              </w:rPr>
              <w:t>报到日</w:t>
            </w:r>
          </w:p>
        </w:tc>
        <w:tc>
          <w:tcPr>
            <w:tcW w:w="1681" w:type="dxa"/>
            <w:vAlign w:val="center"/>
          </w:tcPr>
          <w:p w14:paraId="6EBAF583">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14</w:t>
            </w:r>
            <w:r>
              <w:rPr>
                <w:rFonts w:hint="eastAsia" w:ascii="宋体" w:hAnsi="宋体"/>
                <w:shd w:val="clear" w:color="auto" w:fill="FFFFFF"/>
              </w:rPr>
              <w:t>:</w:t>
            </w:r>
            <w:r>
              <w:rPr>
                <w:rFonts w:ascii="宋体" w:hAnsi="宋体"/>
                <w:shd w:val="clear" w:color="auto" w:fill="FFFFFF"/>
              </w:rPr>
              <w:t>3</w:t>
            </w:r>
            <w:r>
              <w:rPr>
                <w:rFonts w:hint="eastAsia" w:ascii="宋体" w:hAnsi="宋体"/>
                <w:shd w:val="clear" w:color="auto" w:fill="FFFFFF"/>
              </w:rPr>
              <w:t>0-1</w:t>
            </w:r>
            <w:r>
              <w:rPr>
                <w:rFonts w:ascii="宋体" w:hAnsi="宋体"/>
                <w:shd w:val="clear" w:color="auto" w:fill="FFFFFF"/>
              </w:rPr>
              <w:t>5</w:t>
            </w:r>
            <w:r>
              <w:rPr>
                <w:rFonts w:hint="eastAsia" w:ascii="宋体" w:hAnsi="宋体"/>
                <w:shd w:val="clear" w:color="auto" w:fill="FFFFFF"/>
              </w:rPr>
              <w:t>:00</w:t>
            </w:r>
          </w:p>
        </w:tc>
        <w:tc>
          <w:tcPr>
            <w:tcW w:w="1900" w:type="dxa"/>
            <w:vAlign w:val="center"/>
          </w:tcPr>
          <w:p w14:paraId="226CC49C">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参赛队报到，领取资料</w:t>
            </w:r>
          </w:p>
        </w:tc>
        <w:tc>
          <w:tcPr>
            <w:tcW w:w="1355" w:type="dxa"/>
            <w:vAlign w:val="center"/>
          </w:tcPr>
          <w:p w14:paraId="7BBA9556">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工作人员、参赛队</w:t>
            </w:r>
          </w:p>
        </w:tc>
        <w:tc>
          <w:tcPr>
            <w:tcW w:w="1213" w:type="dxa"/>
            <w:vAlign w:val="center"/>
          </w:tcPr>
          <w:p w14:paraId="70150461">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会议室</w:t>
            </w:r>
          </w:p>
        </w:tc>
        <w:tc>
          <w:tcPr>
            <w:tcW w:w="1082" w:type="dxa"/>
            <w:vMerge w:val="restart"/>
            <w:vAlign w:val="center"/>
          </w:tcPr>
          <w:p w14:paraId="2AEADE28">
            <w:pPr>
              <w:shd w:val="solid" w:color="FFFFFF" w:fill="auto"/>
              <w:autoSpaceDN w:val="0"/>
              <w:adjustRightInd w:val="0"/>
              <w:snapToGrid w:val="0"/>
              <w:rPr>
                <w:rFonts w:ascii="宋体" w:hAnsi="宋体"/>
                <w:shd w:val="clear" w:color="auto" w:fill="FFFFFF"/>
              </w:rPr>
            </w:pPr>
          </w:p>
        </w:tc>
      </w:tr>
      <w:tr w14:paraId="12086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vMerge w:val="continue"/>
            <w:vAlign w:val="center"/>
          </w:tcPr>
          <w:p w14:paraId="2F111035">
            <w:pPr>
              <w:adjustRightInd w:val="0"/>
              <w:snapToGrid w:val="0"/>
              <w:jc w:val="center"/>
              <w:rPr>
                <w:rFonts w:ascii="宋体" w:hAnsi="宋体"/>
              </w:rPr>
            </w:pPr>
          </w:p>
        </w:tc>
        <w:tc>
          <w:tcPr>
            <w:tcW w:w="1681" w:type="dxa"/>
            <w:vAlign w:val="center"/>
          </w:tcPr>
          <w:p w14:paraId="33E600A1">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15:00-15:30</w:t>
            </w:r>
          </w:p>
        </w:tc>
        <w:tc>
          <w:tcPr>
            <w:tcW w:w="1900" w:type="dxa"/>
            <w:vAlign w:val="center"/>
          </w:tcPr>
          <w:p w14:paraId="2FCF5B76">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领队会</w:t>
            </w:r>
          </w:p>
        </w:tc>
        <w:tc>
          <w:tcPr>
            <w:tcW w:w="1355" w:type="dxa"/>
            <w:vAlign w:val="center"/>
          </w:tcPr>
          <w:p w14:paraId="3BD1644D">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各参赛队领队、裁判长</w:t>
            </w:r>
          </w:p>
        </w:tc>
        <w:tc>
          <w:tcPr>
            <w:tcW w:w="1213" w:type="dxa"/>
            <w:vAlign w:val="center"/>
          </w:tcPr>
          <w:p w14:paraId="1EF28EBE">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会议室</w:t>
            </w:r>
          </w:p>
        </w:tc>
        <w:tc>
          <w:tcPr>
            <w:tcW w:w="1082" w:type="dxa"/>
            <w:vMerge w:val="continue"/>
            <w:vAlign w:val="center"/>
          </w:tcPr>
          <w:p w14:paraId="5CFBCF5D">
            <w:pPr>
              <w:shd w:val="solid" w:color="FFFFFF" w:fill="auto"/>
              <w:autoSpaceDN w:val="0"/>
              <w:adjustRightInd w:val="0"/>
              <w:snapToGrid w:val="0"/>
              <w:rPr>
                <w:rFonts w:ascii="宋体" w:hAnsi="宋体"/>
                <w:shd w:val="clear" w:color="auto" w:fill="FFFFFF"/>
              </w:rPr>
            </w:pPr>
          </w:p>
        </w:tc>
      </w:tr>
      <w:tr w14:paraId="0EC15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vMerge w:val="continue"/>
            <w:vAlign w:val="center"/>
          </w:tcPr>
          <w:p w14:paraId="0B29596E">
            <w:pPr>
              <w:adjustRightInd w:val="0"/>
              <w:snapToGrid w:val="0"/>
              <w:jc w:val="center"/>
              <w:rPr>
                <w:rFonts w:ascii="宋体" w:hAnsi="宋体"/>
              </w:rPr>
            </w:pPr>
          </w:p>
        </w:tc>
        <w:tc>
          <w:tcPr>
            <w:tcW w:w="1681" w:type="dxa"/>
            <w:vAlign w:val="center"/>
          </w:tcPr>
          <w:p w14:paraId="3C301DCE">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16:00-16:30</w:t>
            </w:r>
          </w:p>
        </w:tc>
        <w:tc>
          <w:tcPr>
            <w:tcW w:w="1900" w:type="dxa"/>
            <w:vAlign w:val="center"/>
          </w:tcPr>
          <w:p w14:paraId="0964CB0F">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熟悉场地</w:t>
            </w:r>
          </w:p>
        </w:tc>
        <w:tc>
          <w:tcPr>
            <w:tcW w:w="1355" w:type="dxa"/>
            <w:vAlign w:val="center"/>
          </w:tcPr>
          <w:p w14:paraId="5CFE8094">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各参赛队领队、指导教师及选手</w:t>
            </w:r>
          </w:p>
        </w:tc>
        <w:tc>
          <w:tcPr>
            <w:tcW w:w="1213" w:type="dxa"/>
            <w:vAlign w:val="center"/>
          </w:tcPr>
          <w:p w14:paraId="545293E7">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竞赛场地</w:t>
            </w:r>
          </w:p>
        </w:tc>
        <w:tc>
          <w:tcPr>
            <w:tcW w:w="1082" w:type="dxa"/>
            <w:vMerge w:val="continue"/>
            <w:vAlign w:val="center"/>
          </w:tcPr>
          <w:p w14:paraId="4511CB24">
            <w:pPr>
              <w:shd w:val="solid" w:color="FFFFFF" w:fill="auto"/>
              <w:autoSpaceDN w:val="0"/>
              <w:adjustRightInd w:val="0"/>
              <w:snapToGrid w:val="0"/>
              <w:rPr>
                <w:rFonts w:ascii="宋体" w:hAnsi="宋体"/>
                <w:shd w:val="clear" w:color="auto" w:fill="FFFFFF"/>
              </w:rPr>
            </w:pPr>
          </w:p>
        </w:tc>
      </w:tr>
      <w:tr w14:paraId="3259D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vMerge w:val="continue"/>
            <w:vAlign w:val="center"/>
          </w:tcPr>
          <w:p w14:paraId="79ACA653">
            <w:pPr>
              <w:adjustRightInd w:val="0"/>
              <w:snapToGrid w:val="0"/>
              <w:jc w:val="center"/>
              <w:rPr>
                <w:rFonts w:ascii="宋体" w:hAnsi="宋体"/>
              </w:rPr>
            </w:pPr>
          </w:p>
        </w:tc>
        <w:tc>
          <w:tcPr>
            <w:tcW w:w="1681" w:type="dxa"/>
            <w:vAlign w:val="center"/>
          </w:tcPr>
          <w:p w14:paraId="7DB9CD8A">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16:30</w:t>
            </w:r>
            <w:r>
              <w:rPr>
                <w:rFonts w:ascii="宋体" w:hAnsi="宋体"/>
                <w:shd w:val="clear" w:color="auto" w:fill="FFFFFF"/>
              </w:rPr>
              <w:t>-16:50</w:t>
            </w:r>
          </w:p>
        </w:tc>
        <w:tc>
          <w:tcPr>
            <w:tcW w:w="1900" w:type="dxa"/>
            <w:vAlign w:val="center"/>
          </w:tcPr>
          <w:p w14:paraId="31C51501">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检查封闭赛场</w:t>
            </w:r>
          </w:p>
        </w:tc>
        <w:tc>
          <w:tcPr>
            <w:tcW w:w="1355" w:type="dxa"/>
            <w:vAlign w:val="center"/>
          </w:tcPr>
          <w:p w14:paraId="7C3EFE66">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裁判长、监督组</w:t>
            </w:r>
          </w:p>
        </w:tc>
        <w:tc>
          <w:tcPr>
            <w:tcW w:w="1213" w:type="dxa"/>
            <w:vAlign w:val="center"/>
          </w:tcPr>
          <w:p w14:paraId="26830488">
            <w:pPr>
              <w:shd w:val="solid" w:color="FFFFFF" w:fill="auto"/>
              <w:autoSpaceDN w:val="0"/>
              <w:jc w:val="center"/>
              <w:rPr>
                <w:rFonts w:ascii="宋体" w:hAnsi="宋体"/>
                <w:shd w:val="clear" w:color="auto" w:fill="FFFFFF"/>
              </w:rPr>
            </w:pPr>
            <w:r>
              <w:rPr>
                <w:rFonts w:hint="eastAsia" w:ascii="宋体" w:hAnsi="宋体"/>
                <w:shd w:val="clear" w:color="auto" w:fill="FFFFFF"/>
              </w:rPr>
              <w:t>竞赛场地</w:t>
            </w:r>
          </w:p>
        </w:tc>
        <w:tc>
          <w:tcPr>
            <w:tcW w:w="1082" w:type="dxa"/>
            <w:vAlign w:val="center"/>
          </w:tcPr>
          <w:p w14:paraId="135A4E3B">
            <w:pPr>
              <w:shd w:val="solid" w:color="FFFFFF" w:fill="auto"/>
              <w:autoSpaceDN w:val="0"/>
              <w:adjustRightInd w:val="0"/>
              <w:snapToGrid w:val="0"/>
              <w:rPr>
                <w:rFonts w:ascii="宋体" w:hAnsi="宋体"/>
                <w:shd w:val="clear" w:color="auto" w:fill="FFFFFF"/>
              </w:rPr>
            </w:pPr>
          </w:p>
        </w:tc>
      </w:tr>
      <w:tr w14:paraId="374D6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1" w:type="dxa"/>
            <w:vMerge w:val="restart"/>
            <w:vAlign w:val="center"/>
          </w:tcPr>
          <w:p w14:paraId="1C0FE0F1">
            <w:pPr>
              <w:shd w:val="solid" w:color="FFFFFF" w:fill="auto"/>
              <w:autoSpaceDN w:val="0"/>
              <w:adjustRightInd w:val="0"/>
              <w:snapToGrid w:val="0"/>
              <w:rPr>
                <w:rFonts w:ascii="宋体" w:hAnsi="宋体"/>
                <w:shd w:val="clear" w:color="auto" w:fill="FFFFFF"/>
              </w:rPr>
            </w:pPr>
            <w:r>
              <w:rPr>
                <w:rFonts w:hint="eastAsia" w:ascii="宋体" w:hAnsi="宋体"/>
              </w:rPr>
              <w:t>竞赛日</w:t>
            </w:r>
            <w:r>
              <w:rPr>
                <w:rFonts w:ascii="宋体" w:hAnsi="宋体"/>
              </w:rPr>
              <w:t>1</w:t>
            </w:r>
          </w:p>
        </w:tc>
        <w:tc>
          <w:tcPr>
            <w:tcW w:w="1681" w:type="dxa"/>
            <w:vAlign w:val="center"/>
          </w:tcPr>
          <w:p w14:paraId="696D8AD5">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9:30</w:t>
            </w:r>
          </w:p>
        </w:tc>
        <w:tc>
          <w:tcPr>
            <w:tcW w:w="1900" w:type="dxa"/>
            <w:vAlign w:val="center"/>
          </w:tcPr>
          <w:p w14:paraId="284B9249">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竞赛场地前整队</w:t>
            </w:r>
          </w:p>
        </w:tc>
        <w:tc>
          <w:tcPr>
            <w:tcW w:w="1355" w:type="dxa"/>
            <w:vAlign w:val="center"/>
          </w:tcPr>
          <w:p w14:paraId="7A2972DD">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各参赛队、工作人员</w:t>
            </w:r>
          </w:p>
        </w:tc>
        <w:tc>
          <w:tcPr>
            <w:tcW w:w="1213" w:type="dxa"/>
            <w:vAlign w:val="center"/>
          </w:tcPr>
          <w:p w14:paraId="76A94DE2">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竞赛场地前</w:t>
            </w:r>
          </w:p>
        </w:tc>
        <w:tc>
          <w:tcPr>
            <w:tcW w:w="1082" w:type="dxa"/>
            <w:vAlign w:val="center"/>
          </w:tcPr>
          <w:p w14:paraId="2F228E4D">
            <w:pPr>
              <w:shd w:val="solid" w:color="FFFFFF" w:fill="auto"/>
              <w:autoSpaceDN w:val="0"/>
              <w:adjustRightInd w:val="0"/>
              <w:snapToGrid w:val="0"/>
              <w:rPr>
                <w:rFonts w:ascii="宋体" w:hAnsi="宋体"/>
                <w:shd w:val="clear" w:color="auto" w:fill="FFFFFF"/>
              </w:rPr>
            </w:pPr>
          </w:p>
        </w:tc>
      </w:tr>
      <w:tr w14:paraId="7AB59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951" w:type="dxa"/>
            <w:vMerge w:val="continue"/>
            <w:vAlign w:val="center"/>
          </w:tcPr>
          <w:p w14:paraId="2DA129E0">
            <w:pPr>
              <w:shd w:val="solid" w:color="FFFFFF" w:fill="auto"/>
              <w:autoSpaceDN w:val="0"/>
              <w:adjustRightInd w:val="0"/>
              <w:snapToGrid w:val="0"/>
              <w:rPr>
                <w:rFonts w:ascii="宋体" w:hAnsi="宋体"/>
                <w:shd w:val="clear" w:color="auto" w:fill="FFFFFF"/>
              </w:rPr>
            </w:pPr>
          </w:p>
        </w:tc>
        <w:tc>
          <w:tcPr>
            <w:tcW w:w="1681" w:type="dxa"/>
            <w:vAlign w:val="center"/>
          </w:tcPr>
          <w:p w14:paraId="5C80D228">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9</w:t>
            </w:r>
            <w:r>
              <w:rPr>
                <w:rFonts w:hint="eastAsia" w:ascii="宋体" w:hAnsi="宋体"/>
                <w:shd w:val="clear" w:color="auto" w:fill="FFFFFF"/>
              </w:rPr>
              <w:t>:</w:t>
            </w:r>
            <w:r>
              <w:rPr>
                <w:rFonts w:ascii="宋体" w:hAnsi="宋体"/>
                <w:shd w:val="clear" w:color="auto" w:fill="FFFFFF"/>
              </w:rPr>
              <w:t>3</w:t>
            </w:r>
            <w:r>
              <w:rPr>
                <w:rFonts w:hint="eastAsia" w:ascii="宋体" w:hAnsi="宋体"/>
                <w:shd w:val="clear" w:color="auto" w:fill="FFFFFF"/>
              </w:rPr>
              <w:t>0-</w:t>
            </w:r>
            <w:r>
              <w:rPr>
                <w:rFonts w:ascii="宋体" w:hAnsi="宋体"/>
                <w:shd w:val="clear" w:color="auto" w:fill="FFFFFF"/>
              </w:rPr>
              <w:t>10</w:t>
            </w:r>
            <w:r>
              <w:rPr>
                <w:rFonts w:hint="eastAsia" w:ascii="宋体" w:hAnsi="宋体"/>
                <w:shd w:val="clear" w:color="auto" w:fill="FFFFFF"/>
              </w:rPr>
              <w:t>:</w:t>
            </w:r>
            <w:r>
              <w:rPr>
                <w:rFonts w:ascii="宋体" w:hAnsi="宋体"/>
                <w:shd w:val="clear" w:color="auto" w:fill="FFFFFF"/>
              </w:rPr>
              <w:t>0</w:t>
            </w:r>
            <w:r>
              <w:rPr>
                <w:rFonts w:hint="eastAsia" w:ascii="宋体" w:hAnsi="宋体"/>
                <w:shd w:val="clear" w:color="auto" w:fill="FFFFFF"/>
              </w:rPr>
              <w:t>0</w:t>
            </w:r>
          </w:p>
        </w:tc>
        <w:tc>
          <w:tcPr>
            <w:tcW w:w="1900" w:type="dxa"/>
            <w:vAlign w:val="center"/>
          </w:tcPr>
          <w:p w14:paraId="128D0557">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外贸履约模块检录进场</w:t>
            </w:r>
          </w:p>
          <w:p w14:paraId="415FA155">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第一次加密抽签（抽序号）</w:t>
            </w:r>
          </w:p>
        </w:tc>
        <w:tc>
          <w:tcPr>
            <w:tcW w:w="1355" w:type="dxa"/>
            <w:vAlign w:val="center"/>
          </w:tcPr>
          <w:p w14:paraId="7301B7AA">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参赛选手、抽签加密裁判</w:t>
            </w:r>
          </w:p>
        </w:tc>
        <w:tc>
          <w:tcPr>
            <w:tcW w:w="1213" w:type="dxa"/>
            <w:vAlign w:val="center"/>
          </w:tcPr>
          <w:p w14:paraId="423B9F17">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一次抽签区域</w:t>
            </w:r>
          </w:p>
        </w:tc>
        <w:tc>
          <w:tcPr>
            <w:tcW w:w="1082" w:type="dxa"/>
            <w:vAlign w:val="center"/>
          </w:tcPr>
          <w:p w14:paraId="3AFB5A8A">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按照竞赛指南参赛队伍名单顺序抽签</w:t>
            </w:r>
          </w:p>
        </w:tc>
      </w:tr>
      <w:tr w14:paraId="65D41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951" w:type="dxa"/>
            <w:vMerge w:val="continue"/>
            <w:vAlign w:val="center"/>
          </w:tcPr>
          <w:p w14:paraId="73374448">
            <w:pPr>
              <w:shd w:val="solid" w:color="FFFFFF" w:fill="auto"/>
              <w:autoSpaceDN w:val="0"/>
              <w:adjustRightInd w:val="0"/>
              <w:snapToGrid w:val="0"/>
              <w:rPr>
                <w:rFonts w:ascii="宋体" w:hAnsi="宋体"/>
                <w:shd w:val="clear" w:color="auto" w:fill="FFFFFF"/>
              </w:rPr>
            </w:pPr>
          </w:p>
        </w:tc>
        <w:tc>
          <w:tcPr>
            <w:tcW w:w="1681" w:type="dxa"/>
            <w:vAlign w:val="center"/>
          </w:tcPr>
          <w:p w14:paraId="137A627F">
            <w:pPr>
              <w:shd w:val="solid" w:color="FFFFFF" w:fill="auto"/>
              <w:autoSpaceDN w:val="0"/>
              <w:adjustRightInd w:val="0"/>
              <w:snapToGrid w:val="0"/>
              <w:jc w:val="center"/>
              <w:rPr>
                <w:rFonts w:ascii="宋体" w:hAnsi="宋体"/>
                <w:shd w:val="clear" w:color="auto" w:fill="FFFFFF"/>
              </w:rPr>
            </w:pPr>
          </w:p>
        </w:tc>
        <w:tc>
          <w:tcPr>
            <w:tcW w:w="1900" w:type="dxa"/>
            <w:vAlign w:val="center"/>
          </w:tcPr>
          <w:p w14:paraId="12A052F8">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第二次加密抽签（抽赛位号）</w:t>
            </w:r>
          </w:p>
        </w:tc>
        <w:tc>
          <w:tcPr>
            <w:tcW w:w="1355" w:type="dxa"/>
            <w:vAlign w:val="center"/>
          </w:tcPr>
          <w:p w14:paraId="394A02CF">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参赛选手、抽签加密裁判</w:t>
            </w:r>
          </w:p>
        </w:tc>
        <w:tc>
          <w:tcPr>
            <w:tcW w:w="1213" w:type="dxa"/>
            <w:vAlign w:val="center"/>
          </w:tcPr>
          <w:p w14:paraId="66130CCF">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二次抽签区域</w:t>
            </w:r>
          </w:p>
        </w:tc>
        <w:tc>
          <w:tcPr>
            <w:tcW w:w="1082" w:type="dxa"/>
            <w:vAlign w:val="center"/>
          </w:tcPr>
          <w:p w14:paraId="26C0CAF2">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选手进入赛场按照赛位号就座</w:t>
            </w:r>
          </w:p>
        </w:tc>
      </w:tr>
      <w:tr w14:paraId="17600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951" w:type="dxa"/>
            <w:vMerge w:val="continue"/>
            <w:vAlign w:val="center"/>
          </w:tcPr>
          <w:p w14:paraId="7E6AEB9D">
            <w:pPr>
              <w:shd w:val="solid" w:color="FFFFFF" w:fill="auto"/>
              <w:autoSpaceDN w:val="0"/>
              <w:adjustRightInd w:val="0"/>
              <w:snapToGrid w:val="0"/>
              <w:rPr>
                <w:rFonts w:ascii="宋体" w:hAnsi="宋体"/>
                <w:shd w:val="clear" w:color="auto" w:fill="FFFFFF"/>
              </w:rPr>
            </w:pPr>
          </w:p>
        </w:tc>
        <w:tc>
          <w:tcPr>
            <w:tcW w:w="1681" w:type="dxa"/>
            <w:vAlign w:val="center"/>
          </w:tcPr>
          <w:p w14:paraId="47C0A653">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1</w:t>
            </w:r>
            <w:r>
              <w:rPr>
                <w:rFonts w:ascii="宋体" w:hAnsi="宋体"/>
                <w:shd w:val="clear" w:color="auto" w:fill="FFFFFF"/>
              </w:rPr>
              <w:t>0</w:t>
            </w:r>
            <w:r>
              <w:rPr>
                <w:rFonts w:hint="eastAsia" w:ascii="宋体" w:hAnsi="宋体"/>
                <w:shd w:val="clear" w:color="auto" w:fill="FFFFFF"/>
              </w:rPr>
              <w:t>:</w:t>
            </w:r>
            <w:r>
              <w:rPr>
                <w:rFonts w:ascii="宋体" w:hAnsi="宋体"/>
                <w:shd w:val="clear" w:color="auto" w:fill="FFFFFF"/>
              </w:rPr>
              <w:t>0</w:t>
            </w:r>
            <w:r>
              <w:rPr>
                <w:rFonts w:hint="eastAsia" w:ascii="宋体" w:hAnsi="宋体"/>
                <w:shd w:val="clear" w:color="auto" w:fill="FFFFFF"/>
              </w:rPr>
              <w:t>0-1</w:t>
            </w:r>
            <w:r>
              <w:rPr>
                <w:rFonts w:ascii="宋体" w:hAnsi="宋体"/>
                <w:shd w:val="clear" w:color="auto" w:fill="FFFFFF"/>
              </w:rPr>
              <w:t>1</w:t>
            </w:r>
            <w:r>
              <w:rPr>
                <w:rFonts w:hint="eastAsia" w:ascii="宋体" w:hAnsi="宋体"/>
                <w:shd w:val="clear" w:color="auto" w:fill="FFFFFF"/>
              </w:rPr>
              <w:t>:</w:t>
            </w:r>
            <w:r>
              <w:rPr>
                <w:rFonts w:ascii="宋体" w:hAnsi="宋体"/>
                <w:shd w:val="clear" w:color="auto" w:fill="FFFFFF"/>
              </w:rPr>
              <w:t>0</w:t>
            </w:r>
            <w:r>
              <w:rPr>
                <w:rFonts w:hint="eastAsia" w:ascii="宋体" w:hAnsi="宋体"/>
                <w:shd w:val="clear" w:color="auto" w:fill="FFFFFF"/>
              </w:rPr>
              <w:t>0</w:t>
            </w:r>
          </w:p>
        </w:tc>
        <w:tc>
          <w:tcPr>
            <w:tcW w:w="1900" w:type="dxa"/>
            <w:vAlign w:val="center"/>
          </w:tcPr>
          <w:p w14:paraId="0BA8FA33">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外贸履约模块</w:t>
            </w:r>
          </w:p>
        </w:tc>
        <w:tc>
          <w:tcPr>
            <w:tcW w:w="1355" w:type="dxa"/>
            <w:vAlign w:val="center"/>
          </w:tcPr>
          <w:p w14:paraId="0C774C7B">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参赛选手、裁判</w:t>
            </w:r>
          </w:p>
        </w:tc>
        <w:tc>
          <w:tcPr>
            <w:tcW w:w="1213" w:type="dxa"/>
            <w:vAlign w:val="center"/>
          </w:tcPr>
          <w:p w14:paraId="1237BCCB">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竞赛场地</w:t>
            </w:r>
          </w:p>
        </w:tc>
        <w:tc>
          <w:tcPr>
            <w:tcW w:w="1082" w:type="dxa"/>
            <w:vAlign w:val="center"/>
          </w:tcPr>
          <w:p w14:paraId="1791A7CD">
            <w:pPr>
              <w:shd w:val="solid" w:color="FFFFFF" w:fill="auto"/>
              <w:autoSpaceDN w:val="0"/>
              <w:adjustRightInd w:val="0"/>
              <w:snapToGrid w:val="0"/>
              <w:rPr>
                <w:rFonts w:ascii="宋体" w:hAnsi="宋体"/>
                <w:shd w:val="clear" w:color="auto" w:fill="FFFFFF"/>
              </w:rPr>
            </w:pPr>
          </w:p>
        </w:tc>
      </w:tr>
      <w:tr w14:paraId="37A4C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951" w:type="dxa"/>
            <w:vMerge w:val="continue"/>
            <w:vAlign w:val="center"/>
          </w:tcPr>
          <w:p w14:paraId="21032523">
            <w:pPr>
              <w:shd w:val="solid" w:color="FFFFFF" w:fill="auto"/>
              <w:autoSpaceDN w:val="0"/>
              <w:adjustRightInd w:val="0"/>
              <w:snapToGrid w:val="0"/>
              <w:rPr>
                <w:rFonts w:ascii="宋体" w:hAnsi="宋体"/>
                <w:shd w:val="clear" w:color="auto" w:fill="FFFFFF"/>
              </w:rPr>
            </w:pPr>
          </w:p>
        </w:tc>
        <w:tc>
          <w:tcPr>
            <w:tcW w:w="1681" w:type="dxa"/>
            <w:vAlign w:val="center"/>
          </w:tcPr>
          <w:p w14:paraId="613107F4">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11:00-</w:t>
            </w:r>
            <w:r>
              <w:rPr>
                <w:rFonts w:hint="eastAsia" w:ascii="宋体" w:hAnsi="宋体"/>
                <w:shd w:val="clear" w:color="auto" w:fill="FFFFFF"/>
              </w:rPr>
              <w:t>1</w:t>
            </w:r>
            <w:r>
              <w:rPr>
                <w:rFonts w:ascii="宋体" w:hAnsi="宋体"/>
                <w:shd w:val="clear" w:color="auto" w:fill="FFFFFF"/>
              </w:rPr>
              <w:t>2</w:t>
            </w:r>
            <w:r>
              <w:rPr>
                <w:rFonts w:hint="eastAsia" w:ascii="宋体" w:hAnsi="宋体"/>
                <w:shd w:val="clear" w:color="auto" w:fill="FFFFFF"/>
              </w:rPr>
              <w:t>:</w:t>
            </w:r>
            <w:r>
              <w:rPr>
                <w:rFonts w:ascii="宋体" w:hAnsi="宋体"/>
                <w:shd w:val="clear" w:color="auto" w:fill="FFFFFF"/>
              </w:rPr>
              <w:t>0</w:t>
            </w:r>
            <w:r>
              <w:rPr>
                <w:rFonts w:hint="eastAsia" w:ascii="宋体" w:hAnsi="宋体"/>
                <w:shd w:val="clear" w:color="auto" w:fill="FFFFFF"/>
              </w:rPr>
              <w:t>0</w:t>
            </w:r>
          </w:p>
        </w:tc>
        <w:tc>
          <w:tcPr>
            <w:tcW w:w="1900" w:type="dxa"/>
            <w:vAlign w:val="center"/>
          </w:tcPr>
          <w:p w14:paraId="436315FF">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检查设备、封闭赛场</w:t>
            </w:r>
          </w:p>
        </w:tc>
        <w:tc>
          <w:tcPr>
            <w:tcW w:w="1355" w:type="dxa"/>
            <w:vAlign w:val="center"/>
          </w:tcPr>
          <w:p w14:paraId="1436F9ED">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裁判、技术人员</w:t>
            </w:r>
          </w:p>
        </w:tc>
        <w:tc>
          <w:tcPr>
            <w:tcW w:w="1213" w:type="dxa"/>
            <w:vAlign w:val="center"/>
          </w:tcPr>
          <w:p w14:paraId="3F1B8884">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竞赛场地</w:t>
            </w:r>
          </w:p>
        </w:tc>
        <w:tc>
          <w:tcPr>
            <w:tcW w:w="1082" w:type="dxa"/>
            <w:vAlign w:val="center"/>
          </w:tcPr>
          <w:p w14:paraId="642314F8">
            <w:pPr>
              <w:shd w:val="solid" w:color="FFFFFF" w:fill="auto"/>
              <w:autoSpaceDN w:val="0"/>
              <w:adjustRightInd w:val="0"/>
              <w:snapToGrid w:val="0"/>
              <w:rPr>
                <w:rFonts w:ascii="宋体" w:hAnsi="宋体"/>
                <w:shd w:val="clear" w:color="auto" w:fill="FFFFFF"/>
              </w:rPr>
            </w:pPr>
          </w:p>
        </w:tc>
      </w:tr>
      <w:tr w14:paraId="47E97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951" w:type="dxa"/>
            <w:vMerge w:val="continue"/>
            <w:vAlign w:val="center"/>
          </w:tcPr>
          <w:p w14:paraId="0BFF560F">
            <w:pPr>
              <w:shd w:val="solid" w:color="FFFFFF" w:fill="auto"/>
              <w:autoSpaceDN w:val="0"/>
              <w:adjustRightInd w:val="0"/>
              <w:snapToGrid w:val="0"/>
              <w:rPr>
                <w:rFonts w:ascii="宋体" w:hAnsi="宋体"/>
                <w:shd w:val="clear" w:color="auto" w:fill="FFFFFF"/>
              </w:rPr>
            </w:pPr>
          </w:p>
        </w:tc>
        <w:tc>
          <w:tcPr>
            <w:tcW w:w="1681" w:type="dxa"/>
            <w:vAlign w:val="center"/>
          </w:tcPr>
          <w:p w14:paraId="0D4A1062">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11</w:t>
            </w:r>
            <w:r>
              <w:rPr>
                <w:rFonts w:hint="eastAsia" w:ascii="宋体" w:hAnsi="宋体"/>
                <w:shd w:val="clear" w:color="auto" w:fill="FFFFFF"/>
              </w:rPr>
              <w:t>:</w:t>
            </w:r>
            <w:r>
              <w:rPr>
                <w:rFonts w:ascii="宋体" w:hAnsi="宋体"/>
                <w:shd w:val="clear" w:color="auto" w:fill="FFFFFF"/>
              </w:rPr>
              <w:t>0</w:t>
            </w:r>
            <w:r>
              <w:rPr>
                <w:rFonts w:hint="eastAsia" w:ascii="宋体" w:hAnsi="宋体"/>
                <w:shd w:val="clear" w:color="auto" w:fill="FFFFFF"/>
              </w:rPr>
              <w:t>0-12:00</w:t>
            </w:r>
          </w:p>
        </w:tc>
        <w:tc>
          <w:tcPr>
            <w:tcW w:w="1900" w:type="dxa"/>
            <w:vAlign w:val="center"/>
          </w:tcPr>
          <w:p w14:paraId="64D7A3C1">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午餐</w:t>
            </w:r>
          </w:p>
        </w:tc>
        <w:tc>
          <w:tcPr>
            <w:tcW w:w="1355" w:type="dxa"/>
            <w:vAlign w:val="center"/>
          </w:tcPr>
          <w:p w14:paraId="2388B852">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各参赛队</w:t>
            </w:r>
          </w:p>
        </w:tc>
        <w:tc>
          <w:tcPr>
            <w:tcW w:w="1213" w:type="dxa"/>
            <w:vAlign w:val="center"/>
          </w:tcPr>
          <w:p w14:paraId="7183C2E4">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校内食堂</w:t>
            </w:r>
          </w:p>
        </w:tc>
        <w:tc>
          <w:tcPr>
            <w:tcW w:w="1082" w:type="dxa"/>
            <w:vMerge w:val="restart"/>
            <w:vAlign w:val="center"/>
          </w:tcPr>
          <w:p w14:paraId="0C294F3B">
            <w:pPr>
              <w:shd w:val="solid" w:color="FFFFFF" w:fill="auto"/>
              <w:autoSpaceDN w:val="0"/>
              <w:adjustRightInd w:val="0"/>
              <w:snapToGrid w:val="0"/>
              <w:rPr>
                <w:rFonts w:ascii="宋体" w:hAnsi="宋体"/>
                <w:shd w:val="clear" w:color="auto" w:fill="FFFFFF"/>
              </w:rPr>
            </w:pPr>
          </w:p>
        </w:tc>
      </w:tr>
      <w:tr w14:paraId="67E4D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vMerge w:val="continue"/>
            <w:vAlign w:val="center"/>
          </w:tcPr>
          <w:p w14:paraId="4AA59504">
            <w:pPr>
              <w:adjustRightInd w:val="0"/>
              <w:snapToGrid w:val="0"/>
              <w:jc w:val="center"/>
              <w:rPr>
                <w:rFonts w:ascii="宋体" w:hAnsi="宋体"/>
              </w:rPr>
            </w:pPr>
          </w:p>
        </w:tc>
        <w:tc>
          <w:tcPr>
            <w:tcW w:w="1681" w:type="dxa"/>
            <w:vAlign w:val="center"/>
          </w:tcPr>
          <w:p w14:paraId="711F66E8">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12</w:t>
            </w:r>
            <w:r>
              <w:rPr>
                <w:rFonts w:hint="eastAsia" w:ascii="宋体" w:hAnsi="宋体"/>
                <w:shd w:val="clear" w:color="auto" w:fill="FFFFFF"/>
              </w:rPr>
              <w:t>:</w:t>
            </w:r>
            <w:r>
              <w:rPr>
                <w:rFonts w:ascii="宋体" w:hAnsi="宋体"/>
                <w:shd w:val="clear" w:color="auto" w:fill="FFFFFF"/>
              </w:rPr>
              <w:t>3</w:t>
            </w:r>
            <w:r>
              <w:rPr>
                <w:rFonts w:hint="eastAsia" w:ascii="宋体" w:hAnsi="宋体"/>
                <w:shd w:val="clear" w:color="auto" w:fill="FFFFFF"/>
              </w:rPr>
              <w:t>0</w:t>
            </w:r>
          </w:p>
        </w:tc>
        <w:tc>
          <w:tcPr>
            <w:tcW w:w="1900" w:type="dxa"/>
            <w:vAlign w:val="center"/>
          </w:tcPr>
          <w:p w14:paraId="6B256C41">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竞赛场地前整队</w:t>
            </w:r>
          </w:p>
        </w:tc>
        <w:tc>
          <w:tcPr>
            <w:tcW w:w="1355" w:type="dxa"/>
            <w:vAlign w:val="center"/>
          </w:tcPr>
          <w:p w14:paraId="5A025C15">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各参赛队、工作人员</w:t>
            </w:r>
          </w:p>
        </w:tc>
        <w:tc>
          <w:tcPr>
            <w:tcW w:w="1213" w:type="dxa"/>
            <w:vAlign w:val="center"/>
          </w:tcPr>
          <w:p w14:paraId="54A12B33">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竞赛场地前</w:t>
            </w:r>
          </w:p>
        </w:tc>
        <w:tc>
          <w:tcPr>
            <w:tcW w:w="1082" w:type="dxa"/>
            <w:vMerge w:val="continue"/>
            <w:vAlign w:val="center"/>
          </w:tcPr>
          <w:p w14:paraId="35BF29AB">
            <w:pPr>
              <w:shd w:val="solid" w:color="FFFFFF" w:fill="auto"/>
              <w:autoSpaceDN w:val="0"/>
              <w:adjustRightInd w:val="0"/>
              <w:snapToGrid w:val="0"/>
              <w:rPr>
                <w:rFonts w:ascii="宋体" w:hAnsi="宋体"/>
                <w:shd w:val="clear" w:color="auto" w:fill="FFFFFF"/>
              </w:rPr>
            </w:pPr>
          </w:p>
        </w:tc>
      </w:tr>
      <w:tr w14:paraId="013D5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vMerge w:val="continue"/>
            <w:vAlign w:val="center"/>
          </w:tcPr>
          <w:p w14:paraId="0F58A526">
            <w:pPr>
              <w:adjustRightInd w:val="0"/>
              <w:snapToGrid w:val="0"/>
              <w:jc w:val="center"/>
              <w:rPr>
                <w:rFonts w:ascii="宋体" w:hAnsi="宋体"/>
              </w:rPr>
            </w:pPr>
          </w:p>
        </w:tc>
        <w:tc>
          <w:tcPr>
            <w:tcW w:w="1681" w:type="dxa"/>
            <w:vMerge w:val="restart"/>
            <w:vAlign w:val="center"/>
          </w:tcPr>
          <w:p w14:paraId="75CBB25A">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12</w:t>
            </w:r>
            <w:r>
              <w:rPr>
                <w:rFonts w:hint="eastAsia" w:ascii="宋体" w:hAnsi="宋体"/>
                <w:shd w:val="clear" w:color="auto" w:fill="FFFFFF"/>
              </w:rPr>
              <w:t>:</w:t>
            </w:r>
            <w:r>
              <w:rPr>
                <w:rFonts w:ascii="宋体" w:hAnsi="宋体"/>
                <w:shd w:val="clear" w:color="auto" w:fill="FFFFFF"/>
              </w:rPr>
              <w:t>4</w:t>
            </w:r>
            <w:r>
              <w:rPr>
                <w:rFonts w:hint="eastAsia" w:ascii="宋体" w:hAnsi="宋体"/>
                <w:shd w:val="clear" w:color="auto" w:fill="FFFFFF"/>
              </w:rPr>
              <w:t>0-</w:t>
            </w:r>
            <w:r>
              <w:rPr>
                <w:rFonts w:ascii="宋体" w:hAnsi="宋体"/>
                <w:shd w:val="clear" w:color="auto" w:fill="FFFFFF"/>
              </w:rPr>
              <w:t>13</w:t>
            </w:r>
            <w:r>
              <w:rPr>
                <w:rFonts w:hint="eastAsia" w:ascii="宋体" w:hAnsi="宋体"/>
                <w:shd w:val="clear" w:color="auto" w:fill="FFFFFF"/>
              </w:rPr>
              <w:t>:</w:t>
            </w:r>
            <w:r>
              <w:rPr>
                <w:rFonts w:ascii="宋体" w:hAnsi="宋体"/>
                <w:shd w:val="clear" w:color="auto" w:fill="FFFFFF"/>
              </w:rPr>
              <w:t>0</w:t>
            </w:r>
            <w:r>
              <w:rPr>
                <w:rFonts w:hint="eastAsia" w:ascii="宋体" w:hAnsi="宋体"/>
                <w:shd w:val="clear" w:color="auto" w:fill="FFFFFF"/>
              </w:rPr>
              <w:t>0</w:t>
            </w:r>
          </w:p>
        </w:tc>
        <w:tc>
          <w:tcPr>
            <w:tcW w:w="1900" w:type="dxa"/>
            <w:vAlign w:val="center"/>
          </w:tcPr>
          <w:p w14:paraId="4836B125">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外贸B2C模块</w:t>
            </w:r>
          </w:p>
          <w:p w14:paraId="62302975">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检录进场</w:t>
            </w:r>
          </w:p>
          <w:p w14:paraId="440BF5E8">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第一次加密抽签（抽序号）</w:t>
            </w:r>
          </w:p>
        </w:tc>
        <w:tc>
          <w:tcPr>
            <w:tcW w:w="1355" w:type="dxa"/>
            <w:vAlign w:val="center"/>
          </w:tcPr>
          <w:p w14:paraId="2898DD09">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参赛选手、抽签加密裁判</w:t>
            </w:r>
          </w:p>
        </w:tc>
        <w:tc>
          <w:tcPr>
            <w:tcW w:w="1213" w:type="dxa"/>
            <w:vAlign w:val="center"/>
          </w:tcPr>
          <w:p w14:paraId="58B41BEB">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一次抽签区域</w:t>
            </w:r>
          </w:p>
        </w:tc>
        <w:tc>
          <w:tcPr>
            <w:tcW w:w="1082" w:type="dxa"/>
            <w:vAlign w:val="center"/>
          </w:tcPr>
          <w:p w14:paraId="67E19C6F">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按照竞赛指南参赛队伍名单顺序抽签</w:t>
            </w:r>
          </w:p>
        </w:tc>
      </w:tr>
      <w:tr w14:paraId="7F649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vMerge w:val="continue"/>
            <w:vAlign w:val="center"/>
          </w:tcPr>
          <w:p w14:paraId="32F12CCB">
            <w:pPr>
              <w:adjustRightInd w:val="0"/>
              <w:snapToGrid w:val="0"/>
              <w:jc w:val="center"/>
              <w:rPr>
                <w:rFonts w:ascii="宋体" w:hAnsi="宋体"/>
              </w:rPr>
            </w:pPr>
          </w:p>
        </w:tc>
        <w:tc>
          <w:tcPr>
            <w:tcW w:w="1681" w:type="dxa"/>
            <w:vMerge w:val="continue"/>
            <w:vAlign w:val="center"/>
          </w:tcPr>
          <w:p w14:paraId="02467177">
            <w:pPr>
              <w:shd w:val="solid" w:color="FFFFFF" w:fill="auto"/>
              <w:autoSpaceDN w:val="0"/>
              <w:adjustRightInd w:val="0"/>
              <w:snapToGrid w:val="0"/>
              <w:jc w:val="center"/>
              <w:rPr>
                <w:rFonts w:ascii="宋体" w:hAnsi="宋体"/>
                <w:shd w:val="clear" w:color="auto" w:fill="FFFFFF"/>
              </w:rPr>
            </w:pPr>
          </w:p>
        </w:tc>
        <w:tc>
          <w:tcPr>
            <w:tcW w:w="1900" w:type="dxa"/>
            <w:vAlign w:val="center"/>
          </w:tcPr>
          <w:p w14:paraId="0B9BB60E">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第二次加密抽签（抽赛位号）</w:t>
            </w:r>
          </w:p>
        </w:tc>
        <w:tc>
          <w:tcPr>
            <w:tcW w:w="1355" w:type="dxa"/>
            <w:vAlign w:val="center"/>
          </w:tcPr>
          <w:p w14:paraId="7112BBE2">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参赛选手、抽签加密裁判</w:t>
            </w:r>
          </w:p>
        </w:tc>
        <w:tc>
          <w:tcPr>
            <w:tcW w:w="1213" w:type="dxa"/>
            <w:vAlign w:val="center"/>
          </w:tcPr>
          <w:p w14:paraId="6F4FFB43">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二次抽签区域</w:t>
            </w:r>
          </w:p>
        </w:tc>
        <w:tc>
          <w:tcPr>
            <w:tcW w:w="1082" w:type="dxa"/>
            <w:vAlign w:val="center"/>
          </w:tcPr>
          <w:p w14:paraId="2CA3A0E4">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选手进入赛场按照赛位号就座</w:t>
            </w:r>
          </w:p>
        </w:tc>
      </w:tr>
      <w:tr w14:paraId="2C010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vMerge w:val="continue"/>
            <w:vAlign w:val="center"/>
          </w:tcPr>
          <w:p w14:paraId="344DEB33">
            <w:pPr>
              <w:adjustRightInd w:val="0"/>
              <w:snapToGrid w:val="0"/>
              <w:jc w:val="center"/>
              <w:rPr>
                <w:rFonts w:ascii="宋体" w:hAnsi="宋体"/>
              </w:rPr>
            </w:pPr>
          </w:p>
        </w:tc>
        <w:tc>
          <w:tcPr>
            <w:tcW w:w="1681" w:type="dxa"/>
            <w:vAlign w:val="center"/>
          </w:tcPr>
          <w:p w14:paraId="75968889">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13</w:t>
            </w:r>
            <w:r>
              <w:rPr>
                <w:rFonts w:hint="eastAsia" w:ascii="宋体" w:hAnsi="宋体"/>
                <w:shd w:val="clear" w:color="auto" w:fill="FFFFFF"/>
              </w:rPr>
              <w:t>:</w:t>
            </w:r>
            <w:r>
              <w:rPr>
                <w:rFonts w:ascii="宋体" w:hAnsi="宋体"/>
                <w:shd w:val="clear" w:color="auto" w:fill="FFFFFF"/>
              </w:rPr>
              <w:t>0</w:t>
            </w:r>
            <w:r>
              <w:rPr>
                <w:rFonts w:hint="eastAsia" w:ascii="宋体" w:hAnsi="宋体"/>
                <w:shd w:val="clear" w:color="auto" w:fill="FFFFFF"/>
              </w:rPr>
              <w:t>0-</w:t>
            </w:r>
            <w:r>
              <w:rPr>
                <w:rFonts w:ascii="宋体" w:hAnsi="宋体"/>
                <w:shd w:val="clear" w:color="auto" w:fill="FFFFFF"/>
              </w:rPr>
              <w:t>13</w:t>
            </w:r>
            <w:r>
              <w:rPr>
                <w:rFonts w:hint="eastAsia" w:ascii="宋体" w:hAnsi="宋体"/>
                <w:shd w:val="clear" w:color="auto" w:fill="FFFFFF"/>
              </w:rPr>
              <w:t>:</w:t>
            </w:r>
            <w:r>
              <w:rPr>
                <w:rFonts w:ascii="宋体" w:hAnsi="宋体"/>
                <w:shd w:val="clear" w:color="auto" w:fill="FFFFFF"/>
              </w:rPr>
              <w:t>4</w:t>
            </w:r>
            <w:r>
              <w:rPr>
                <w:rFonts w:hint="eastAsia" w:ascii="宋体" w:hAnsi="宋体"/>
                <w:shd w:val="clear" w:color="auto" w:fill="FFFFFF"/>
              </w:rPr>
              <w:t>0</w:t>
            </w:r>
          </w:p>
        </w:tc>
        <w:tc>
          <w:tcPr>
            <w:tcW w:w="1900" w:type="dxa"/>
            <w:vAlign w:val="center"/>
          </w:tcPr>
          <w:p w14:paraId="21A2FF03">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外贸B2C模块（R1）</w:t>
            </w:r>
          </w:p>
        </w:tc>
        <w:tc>
          <w:tcPr>
            <w:tcW w:w="1355" w:type="dxa"/>
            <w:vMerge w:val="restart"/>
            <w:vAlign w:val="center"/>
          </w:tcPr>
          <w:p w14:paraId="38F7227F">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参赛选手、裁判</w:t>
            </w:r>
          </w:p>
        </w:tc>
        <w:tc>
          <w:tcPr>
            <w:tcW w:w="1213" w:type="dxa"/>
            <w:vMerge w:val="restart"/>
            <w:vAlign w:val="center"/>
          </w:tcPr>
          <w:p w14:paraId="1ED2BBDF">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竞赛场地</w:t>
            </w:r>
          </w:p>
        </w:tc>
        <w:tc>
          <w:tcPr>
            <w:tcW w:w="1082" w:type="dxa"/>
            <w:vAlign w:val="center"/>
          </w:tcPr>
          <w:p w14:paraId="43F846C2">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第一</w:t>
            </w:r>
          </w:p>
          <w:p w14:paraId="08D8B580">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回合</w:t>
            </w:r>
          </w:p>
        </w:tc>
      </w:tr>
      <w:tr w14:paraId="06647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vMerge w:val="continue"/>
            <w:vAlign w:val="center"/>
          </w:tcPr>
          <w:p w14:paraId="34EE0CC8">
            <w:pPr>
              <w:adjustRightInd w:val="0"/>
              <w:snapToGrid w:val="0"/>
              <w:jc w:val="center"/>
              <w:rPr>
                <w:rFonts w:ascii="宋体" w:hAnsi="宋体"/>
              </w:rPr>
            </w:pPr>
          </w:p>
        </w:tc>
        <w:tc>
          <w:tcPr>
            <w:tcW w:w="1681" w:type="dxa"/>
            <w:vAlign w:val="center"/>
          </w:tcPr>
          <w:p w14:paraId="6A9FA165">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13</w:t>
            </w:r>
            <w:r>
              <w:rPr>
                <w:rFonts w:hint="eastAsia" w:ascii="宋体" w:hAnsi="宋体"/>
                <w:shd w:val="clear" w:color="auto" w:fill="FFFFFF"/>
              </w:rPr>
              <w:t>:</w:t>
            </w:r>
            <w:r>
              <w:rPr>
                <w:rFonts w:ascii="宋体" w:hAnsi="宋体"/>
                <w:shd w:val="clear" w:color="auto" w:fill="FFFFFF"/>
              </w:rPr>
              <w:t>4</w:t>
            </w:r>
            <w:r>
              <w:rPr>
                <w:rFonts w:hint="eastAsia" w:ascii="宋体" w:hAnsi="宋体"/>
                <w:shd w:val="clear" w:color="auto" w:fill="FFFFFF"/>
              </w:rPr>
              <w:t>0-</w:t>
            </w:r>
            <w:r>
              <w:rPr>
                <w:rFonts w:ascii="宋体" w:hAnsi="宋体"/>
                <w:shd w:val="clear" w:color="auto" w:fill="FFFFFF"/>
              </w:rPr>
              <w:t>14</w:t>
            </w:r>
            <w:r>
              <w:rPr>
                <w:rFonts w:hint="eastAsia" w:ascii="宋体" w:hAnsi="宋体"/>
                <w:shd w:val="clear" w:color="auto" w:fill="FFFFFF"/>
              </w:rPr>
              <w:t>:</w:t>
            </w:r>
            <w:r>
              <w:rPr>
                <w:rFonts w:ascii="宋体" w:hAnsi="宋体"/>
                <w:shd w:val="clear" w:color="auto" w:fill="FFFFFF"/>
              </w:rPr>
              <w:t>2</w:t>
            </w:r>
            <w:r>
              <w:rPr>
                <w:rFonts w:hint="eastAsia" w:ascii="宋体" w:hAnsi="宋体"/>
                <w:shd w:val="clear" w:color="auto" w:fill="FFFFFF"/>
              </w:rPr>
              <w:t>0</w:t>
            </w:r>
          </w:p>
        </w:tc>
        <w:tc>
          <w:tcPr>
            <w:tcW w:w="1900" w:type="dxa"/>
            <w:vAlign w:val="center"/>
          </w:tcPr>
          <w:p w14:paraId="77E74B4F">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外贸B2C模块（R2）</w:t>
            </w:r>
          </w:p>
        </w:tc>
        <w:tc>
          <w:tcPr>
            <w:tcW w:w="1355" w:type="dxa"/>
            <w:vMerge w:val="continue"/>
            <w:vAlign w:val="center"/>
          </w:tcPr>
          <w:p w14:paraId="7A7A2043">
            <w:pPr>
              <w:shd w:val="solid" w:color="FFFFFF" w:fill="auto"/>
              <w:autoSpaceDN w:val="0"/>
              <w:adjustRightInd w:val="0"/>
              <w:snapToGrid w:val="0"/>
              <w:rPr>
                <w:rFonts w:ascii="宋体" w:hAnsi="宋体"/>
                <w:shd w:val="clear" w:color="auto" w:fill="FFFFFF"/>
              </w:rPr>
            </w:pPr>
          </w:p>
        </w:tc>
        <w:tc>
          <w:tcPr>
            <w:tcW w:w="1213" w:type="dxa"/>
            <w:vMerge w:val="continue"/>
            <w:vAlign w:val="center"/>
          </w:tcPr>
          <w:p w14:paraId="47AD38DE">
            <w:pPr>
              <w:shd w:val="solid" w:color="FFFFFF" w:fill="auto"/>
              <w:autoSpaceDN w:val="0"/>
              <w:adjustRightInd w:val="0"/>
              <w:snapToGrid w:val="0"/>
              <w:jc w:val="center"/>
              <w:rPr>
                <w:rFonts w:ascii="宋体" w:hAnsi="宋体"/>
                <w:shd w:val="clear" w:color="auto" w:fill="FFFFFF"/>
              </w:rPr>
            </w:pPr>
          </w:p>
        </w:tc>
        <w:tc>
          <w:tcPr>
            <w:tcW w:w="1082" w:type="dxa"/>
            <w:vAlign w:val="center"/>
          </w:tcPr>
          <w:p w14:paraId="234D2B8C">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第二</w:t>
            </w:r>
          </w:p>
          <w:p w14:paraId="03A81061">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回合</w:t>
            </w:r>
          </w:p>
        </w:tc>
      </w:tr>
      <w:tr w14:paraId="50A53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vMerge w:val="continue"/>
            <w:vAlign w:val="center"/>
          </w:tcPr>
          <w:p w14:paraId="2B68A4A2">
            <w:pPr>
              <w:adjustRightInd w:val="0"/>
              <w:snapToGrid w:val="0"/>
              <w:jc w:val="center"/>
              <w:rPr>
                <w:rFonts w:ascii="宋体" w:hAnsi="宋体"/>
              </w:rPr>
            </w:pPr>
          </w:p>
        </w:tc>
        <w:tc>
          <w:tcPr>
            <w:tcW w:w="1681" w:type="dxa"/>
            <w:vAlign w:val="center"/>
          </w:tcPr>
          <w:p w14:paraId="3B037C08">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14</w:t>
            </w:r>
            <w:r>
              <w:rPr>
                <w:rFonts w:hint="eastAsia" w:ascii="宋体" w:hAnsi="宋体"/>
                <w:shd w:val="clear" w:color="auto" w:fill="FFFFFF"/>
              </w:rPr>
              <w:t>:</w:t>
            </w:r>
            <w:r>
              <w:rPr>
                <w:rFonts w:ascii="宋体" w:hAnsi="宋体"/>
                <w:shd w:val="clear" w:color="auto" w:fill="FFFFFF"/>
              </w:rPr>
              <w:t>2</w:t>
            </w:r>
            <w:r>
              <w:rPr>
                <w:rFonts w:hint="eastAsia" w:ascii="宋体" w:hAnsi="宋体"/>
                <w:shd w:val="clear" w:color="auto" w:fill="FFFFFF"/>
              </w:rPr>
              <w:t>0-1</w:t>
            </w:r>
            <w:r>
              <w:rPr>
                <w:rFonts w:ascii="宋体" w:hAnsi="宋体"/>
                <w:shd w:val="clear" w:color="auto" w:fill="FFFFFF"/>
              </w:rPr>
              <w:t>5</w:t>
            </w:r>
            <w:r>
              <w:rPr>
                <w:rFonts w:hint="eastAsia" w:ascii="宋体" w:hAnsi="宋体"/>
                <w:shd w:val="clear" w:color="auto" w:fill="FFFFFF"/>
              </w:rPr>
              <w:t>:</w:t>
            </w:r>
            <w:r>
              <w:rPr>
                <w:rFonts w:ascii="宋体" w:hAnsi="宋体"/>
                <w:shd w:val="clear" w:color="auto" w:fill="FFFFFF"/>
              </w:rPr>
              <w:t>0</w:t>
            </w:r>
            <w:r>
              <w:rPr>
                <w:rFonts w:hint="eastAsia" w:ascii="宋体" w:hAnsi="宋体"/>
                <w:shd w:val="clear" w:color="auto" w:fill="FFFFFF"/>
              </w:rPr>
              <w:t>0</w:t>
            </w:r>
          </w:p>
        </w:tc>
        <w:tc>
          <w:tcPr>
            <w:tcW w:w="1900" w:type="dxa"/>
            <w:vAlign w:val="center"/>
          </w:tcPr>
          <w:p w14:paraId="309018D1">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外贸B2C模块（R3）</w:t>
            </w:r>
          </w:p>
        </w:tc>
        <w:tc>
          <w:tcPr>
            <w:tcW w:w="1355" w:type="dxa"/>
            <w:vMerge w:val="continue"/>
            <w:vAlign w:val="center"/>
          </w:tcPr>
          <w:p w14:paraId="314E724C">
            <w:pPr>
              <w:shd w:val="solid" w:color="FFFFFF" w:fill="auto"/>
              <w:autoSpaceDN w:val="0"/>
              <w:adjustRightInd w:val="0"/>
              <w:snapToGrid w:val="0"/>
              <w:rPr>
                <w:rFonts w:ascii="宋体" w:hAnsi="宋体"/>
                <w:shd w:val="clear" w:color="auto" w:fill="FFFFFF"/>
              </w:rPr>
            </w:pPr>
          </w:p>
        </w:tc>
        <w:tc>
          <w:tcPr>
            <w:tcW w:w="1213" w:type="dxa"/>
            <w:vMerge w:val="continue"/>
            <w:vAlign w:val="center"/>
          </w:tcPr>
          <w:p w14:paraId="260B8498">
            <w:pPr>
              <w:shd w:val="solid" w:color="FFFFFF" w:fill="auto"/>
              <w:autoSpaceDN w:val="0"/>
              <w:adjustRightInd w:val="0"/>
              <w:snapToGrid w:val="0"/>
              <w:jc w:val="center"/>
              <w:rPr>
                <w:rFonts w:ascii="宋体" w:hAnsi="宋体"/>
                <w:shd w:val="clear" w:color="auto" w:fill="FFFFFF"/>
              </w:rPr>
            </w:pPr>
          </w:p>
        </w:tc>
        <w:tc>
          <w:tcPr>
            <w:tcW w:w="1082" w:type="dxa"/>
            <w:vAlign w:val="center"/>
          </w:tcPr>
          <w:p w14:paraId="188C01C3">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第三</w:t>
            </w:r>
          </w:p>
          <w:p w14:paraId="69765947">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回合</w:t>
            </w:r>
          </w:p>
        </w:tc>
      </w:tr>
      <w:tr w14:paraId="29F6B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vMerge w:val="continue"/>
            <w:vAlign w:val="center"/>
          </w:tcPr>
          <w:p w14:paraId="3B1A65E2">
            <w:pPr>
              <w:adjustRightInd w:val="0"/>
              <w:snapToGrid w:val="0"/>
              <w:jc w:val="center"/>
              <w:rPr>
                <w:rFonts w:ascii="宋体" w:hAnsi="宋体"/>
              </w:rPr>
            </w:pPr>
          </w:p>
        </w:tc>
        <w:tc>
          <w:tcPr>
            <w:tcW w:w="1681" w:type="dxa"/>
            <w:vAlign w:val="center"/>
          </w:tcPr>
          <w:p w14:paraId="33864B20">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1</w:t>
            </w:r>
            <w:r>
              <w:rPr>
                <w:rFonts w:ascii="宋体" w:hAnsi="宋体"/>
                <w:shd w:val="clear" w:color="auto" w:fill="FFFFFF"/>
              </w:rPr>
              <w:t>5</w:t>
            </w:r>
            <w:r>
              <w:rPr>
                <w:rFonts w:hint="eastAsia" w:ascii="宋体" w:hAnsi="宋体"/>
                <w:shd w:val="clear" w:color="auto" w:fill="FFFFFF"/>
              </w:rPr>
              <w:t>:</w:t>
            </w:r>
            <w:r>
              <w:rPr>
                <w:rFonts w:ascii="宋体" w:hAnsi="宋体"/>
                <w:shd w:val="clear" w:color="auto" w:fill="FFFFFF"/>
              </w:rPr>
              <w:t>0</w:t>
            </w:r>
            <w:r>
              <w:rPr>
                <w:rFonts w:hint="eastAsia" w:ascii="宋体" w:hAnsi="宋体"/>
                <w:shd w:val="clear" w:color="auto" w:fill="FFFFFF"/>
              </w:rPr>
              <w:t>0-1</w:t>
            </w:r>
            <w:r>
              <w:rPr>
                <w:rFonts w:ascii="宋体" w:hAnsi="宋体"/>
                <w:shd w:val="clear" w:color="auto" w:fill="FFFFFF"/>
              </w:rPr>
              <w:t>5</w:t>
            </w:r>
            <w:r>
              <w:rPr>
                <w:rFonts w:hint="eastAsia" w:ascii="宋体" w:hAnsi="宋体"/>
                <w:shd w:val="clear" w:color="auto" w:fill="FFFFFF"/>
              </w:rPr>
              <w:t>:</w:t>
            </w:r>
            <w:r>
              <w:rPr>
                <w:rFonts w:ascii="宋体" w:hAnsi="宋体"/>
                <w:shd w:val="clear" w:color="auto" w:fill="FFFFFF"/>
              </w:rPr>
              <w:t>4</w:t>
            </w:r>
            <w:r>
              <w:rPr>
                <w:rFonts w:hint="eastAsia" w:ascii="宋体" w:hAnsi="宋体"/>
                <w:shd w:val="clear" w:color="auto" w:fill="FFFFFF"/>
              </w:rPr>
              <w:t>0</w:t>
            </w:r>
          </w:p>
        </w:tc>
        <w:tc>
          <w:tcPr>
            <w:tcW w:w="1900" w:type="dxa"/>
            <w:vAlign w:val="center"/>
          </w:tcPr>
          <w:p w14:paraId="7A022496">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外贸B2C模块（R4）</w:t>
            </w:r>
          </w:p>
        </w:tc>
        <w:tc>
          <w:tcPr>
            <w:tcW w:w="1355" w:type="dxa"/>
            <w:vMerge w:val="continue"/>
            <w:vAlign w:val="center"/>
          </w:tcPr>
          <w:p w14:paraId="0E3E0665">
            <w:pPr>
              <w:shd w:val="solid" w:color="FFFFFF" w:fill="auto"/>
              <w:autoSpaceDN w:val="0"/>
              <w:adjustRightInd w:val="0"/>
              <w:snapToGrid w:val="0"/>
              <w:rPr>
                <w:rFonts w:ascii="宋体" w:hAnsi="宋体"/>
                <w:shd w:val="clear" w:color="auto" w:fill="FFFFFF"/>
              </w:rPr>
            </w:pPr>
          </w:p>
        </w:tc>
        <w:tc>
          <w:tcPr>
            <w:tcW w:w="1213" w:type="dxa"/>
            <w:vMerge w:val="continue"/>
            <w:vAlign w:val="center"/>
          </w:tcPr>
          <w:p w14:paraId="16ED0553">
            <w:pPr>
              <w:shd w:val="solid" w:color="FFFFFF" w:fill="auto"/>
              <w:autoSpaceDN w:val="0"/>
              <w:adjustRightInd w:val="0"/>
              <w:snapToGrid w:val="0"/>
              <w:jc w:val="center"/>
              <w:rPr>
                <w:rFonts w:ascii="宋体" w:hAnsi="宋体"/>
                <w:shd w:val="clear" w:color="auto" w:fill="FFFFFF"/>
              </w:rPr>
            </w:pPr>
          </w:p>
        </w:tc>
        <w:tc>
          <w:tcPr>
            <w:tcW w:w="1082" w:type="dxa"/>
            <w:vAlign w:val="center"/>
          </w:tcPr>
          <w:p w14:paraId="67C72CB2">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第四</w:t>
            </w:r>
          </w:p>
          <w:p w14:paraId="1C4887C4">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回合</w:t>
            </w:r>
          </w:p>
        </w:tc>
      </w:tr>
      <w:tr w14:paraId="3220E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vMerge w:val="continue"/>
            <w:vAlign w:val="center"/>
          </w:tcPr>
          <w:p w14:paraId="581E33BE">
            <w:pPr>
              <w:adjustRightInd w:val="0"/>
              <w:snapToGrid w:val="0"/>
              <w:jc w:val="center"/>
              <w:rPr>
                <w:rFonts w:ascii="宋体" w:hAnsi="宋体"/>
              </w:rPr>
            </w:pPr>
          </w:p>
        </w:tc>
        <w:tc>
          <w:tcPr>
            <w:tcW w:w="1681" w:type="dxa"/>
            <w:vAlign w:val="center"/>
          </w:tcPr>
          <w:p w14:paraId="0C3F0D46">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1</w:t>
            </w:r>
            <w:r>
              <w:rPr>
                <w:rFonts w:ascii="宋体" w:hAnsi="宋体"/>
                <w:shd w:val="clear" w:color="auto" w:fill="FFFFFF"/>
              </w:rPr>
              <w:t>5</w:t>
            </w:r>
            <w:r>
              <w:rPr>
                <w:rFonts w:hint="eastAsia" w:ascii="宋体" w:hAnsi="宋体"/>
                <w:shd w:val="clear" w:color="auto" w:fill="FFFFFF"/>
              </w:rPr>
              <w:t>:</w:t>
            </w:r>
            <w:r>
              <w:rPr>
                <w:rFonts w:ascii="宋体" w:hAnsi="宋体"/>
                <w:shd w:val="clear" w:color="auto" w:fill="FFFFFF"/>
              </w:rPr>
              <w:t>4</w:t>
            </w:r>
            <w:r>
              <w:rPr>
                <w:rFonts w:hint="eastAsia" w:ascii="宋体" w:hAnsi="宋体"/>
                <w:shd w:val="clear" w:color="auto" w:fill="FFFFFF"/>
              </w:rPr>
              <w:t>0-1</w:t>
            </w:r>
            <w:r>
              <w:rPr>
                <w:rFonts w:ascii="宋体" w:hAnsi="宋体"/>
                <w:shd w:val="clear" w:color="auto" w:fill="FFFFFF"/>
              </w:rPr>
              <w:t>6</w:t>
            </w:r>
            <w:r>
              <w:rPr>
                <w:rFonts w:hint="eastAsia" w:ascii="宋体" w:hAnsi="宋体"/>
                <w:shd w:val="clear" w:color="auto" w:fill="FFFFFF"/>
              </w:rPr>
              <w:t>:</w:t>
            </w:r>
            <w:r>
              <w:rPr>
                <w:rFonts w:ascii="宋体" w:hAnsi="宋体"/>
                <w:shd w:val="clear" w:color="auto" w:fill="FFFFFF"/>
              </w:rPr>
              <w:t>2</w:t>
            </w:r>
            <w:r>
              <w:rPr>
                <w:rFonts w:hint="eastAsia" w:ascii="宋体" w:hAnsi="宋体"/>
                <w:shd w:val="clear" w:color="auto" w:fill="FFFFFF"/>
              </w:rPr>
              <w:t>0</w:t>
            </w:r>
          </w:p>
        </w:tc>
        <w:tc>
          <w:tcPr>
            <w:tcW w:w="1900" w:type="dxa"/>
            <w:vAlign w:val="center"/>
          </w:tcPr>
          <w:p w14:paraId="4D781A74">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外贸B2C模块（R5）</w:t>
            </w:r>
          </w:p>
        </w:tc>
        <w:tc>
          <w:tcPr>
            <w:tcW w:w="1355" w:type="dxa"/>
            <w:vMerge w:val="continue"/>
            <w:vAlign w:val="center"/>
          </w:tcPr>
          <w:p w14:paraId="6465AB50">
            <w:pPr>
              <w:shd w:val="solid" w:color="FFFFFF" w:fill="auto"/>
              <w:autoSpaceDN w:val="0"/>
              <w:adjustRightInd w:val="0"/>
              <w:snapToGrid w:val="0"/>
              <w:rPr>
                <w:rFonts w:ascii="宋体" w:hAnsi="宋体"/>
                <w:shd w:val="clear" w:color="auto" w:fill="FFFFFF"/>
              </w:rPr>
            </w:pPr>
          </w:p>
        </w:tc>
        <w:tc>
          <w:tcPr>
            <w:tcW w:w="1213" w:type="dxa"/>
            <w:vMerge w:val="continue"/>
            <w:vAlign w:val="center"/>
          </w:tcPr>
          <w:p w14:paraId="11DD723D">
            <w:pPr>
              <w:shd w:val="solid" w:color="FFFFFF" w:fill="auto"/>
              <w:autoSpaceDN w:val="0"/>
              <w:adjustRightInd w:val="0"/>
              <w:snapToGrid w:val="0"/>
              <w:jc w:val="center"/>
              <w:rPr>
                <w:rFonts w:ascii="宋体" w:hAnsi="宋体"/>
                <w:shd w:val="clear" w:color="auto" w:fill="FFFFFF"/>
              </w:rPr>
            </w:pPr>
          </w:p>
        </w:tc>
        <w:tc>
          <w:tcPr>
            <w:tcW w:w="1082" w:type="dxa"/>
            <w:vAlign w:val="center"/>
          </w:tcPr>
          <w:p w14:paraId="366D6369">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第五</w:t>
            </w:r>
          </w:p>
          <w:p w14:paraId="4F84EDCF">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回合</w:t>
            </w:r>
          </w:p>
        </w:tc>
      </w:tr>
      <w:tr w14:paraId="148FC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vMerge w:val="continue"/>
            <w:vAlign w:val="center"/>
          </w:tcPr>
          <w:p w14:paraId="530B3D7F">
            <w:pPr>
              <w:adjustRightInd w:val="0"/>
              <w:snapToGrid w:val="0"/>
              <w:jc w:val="center"/>
              <w:rPr>
                <w:rFonts w:ascii="宋体" w:hAnsi="宋体"/>
              </w:rPr>
            </w:pPr>
          </w:p>
        </w:tc>
        <w:tc>
          <w:tcPr>
            <w:tcW w:w="1681" w:type="dxa"/>
            <w:vAlign w:val="center"/>
          </w:tcPr>
          <w:p w14:paraId="30215CAE">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1</w:t>
            </w:r>
            <w:r>
              <w:rPr>
                <w:rFonts w:ascii="宋体" w:hAnsi="宋体"/>
                <w:shd w:val="clear" w:color="auto" w:fill="FFFFFF"/>
              </w:rPr>
              <w:t>6</w:t>
            </w:r>
            <w:r>
              <w:rPr>
                <w:rFonts w:hint="eastAsia" w:ascii="宋体" w:hAnsi="宋体"/>
                <w:shd w:val="clear" w:color="auto" w:fill="FFFFFF"/>
              </w:rPr>
              <w:t>:</w:t>
            </w:r>
            <w:r>
              <w:rPr>
                <w:rFonts w:ascii="宋体" w:hAnsi="宋体"/>
                <w:shd w:val="clear" w:color="auto" w:fill="FFFFFF"/>
              </w:rPr>
              <w:t>2</w:t>
            </w:r>
            <w:r>
              <w:rPr>
                <w:rFonts w:hint="eastAsia" w:ascii="宋体" w:hAnsi="宋体"/>
                <w:shd w:val="clear" w:color="auto" w:fill="FFFFFF"/>
              </w:rPr>
              <w:t>0-1</w:t>
            </w:r>
            <w:r>
              <w:rPr>
                <w:rFonts w:ascii="宋体" w:hAnsi="宋体"/>
                <w:shd w:val="clear" w:color="auto" w:fill="FFFFFF"/>
              </w:rPr>
              <w:t>7</w:t>
            </w:r>
            <w:r>
              <w:rPr>
                <w:rFonts w:hint="eastAsia" w:ascii="宋体" w:hAnsi="宋体"/>
                <w:shd w:val="clear" w:color="auto" w:fill="FFFFFF"/>
              </w:rPr>
              <w:t>:</w:t>
            </w:r>
            <w:r>
              <w:rPr>
                <w:rFonts w:ascii="宋体" w:hAnsi="宋体"/>
                <w:shd w:val="clear" w:color="auto" w:fill="FFFFFF"/>
              </w:rPr>
              <w:t>0</w:t>
            </w:r>
            <w:r>
              <w:rPr>
                <w:rFonts w:hint="eastAsia" w:ascii="宋体" w:hAnsi="宋体"/>
                <w:shd w:val="clear" w:color="auto" w:fill="FFFFFF"/>
              </w:rPr>
              <w:t>0</w:t>
            </w:r>
          </w:p>
        </w:tc>
        <w:tc>
          <w:tcPr>
            <w:tcW w:w="1900" w:type="dxa"/>
            <w:vAlign w:val="center"/>
          </w:tcPr>
          <w:p w14:paraId="0586C513">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外贸B2C模块（R6）</w:t>
            </w:r>
          </w:p>
        </w:tc>
        <w:tc>
          <w:tcPr>
            <w:tcW w:w="1355" w:type="dxa"/>
            <w:vMerge w:val="continue"/>
            <w:vAlign w:val="center"/>
          </w:tcPr>
          <w:p w14:paraId="240ABB83">
            <w:pPr>
              <w:shd w:val="solid" w:color="FFFFFF" w:fill="auto"/>
              <w:autoSpaceDN w:val="0"/>
              <w:adjustRightInd w:val="0"/>
              <w:snapToGrid w:val="0"/>
              <w:rPr>
                <w:rFonts w:ascii="宋体" w:hAnsi="宋体"/>
                <w:shd w:val="clear" w:color="auto" w:fill="FFFFFF"/>
              </w:rPr>
            </w:pPr>
          </w:p>
        </w:tc>
        <w:tc>
          <w:tcPr>
            <w:tcW w:w="1213" w:type="dxa"/>
            <w:vMerge w:val="continue"/>
            <w:vAlign w:val="center"/>
          </w:tcPr>
          <w:p w14:paraId="67ED86DE">
            <w:pPr>
              <w:shd w:val="solid" w:color="FFFFFF" w:fill="auto"/>
              <w:autoSpaceDN w:val="0"/>
              <w:adjustRightInd w:val="0"/>
              <w:snapToGrid w:val="0"/>
              <w:jc w:val="center"/>
              <w:rPr>
                <w:rFonts w:ascii="宋体" w:hAnsi="宋体"/>
                <w:shd w:val="clear" w:color="auto" w:fill="FFFFFF"/>
              </w:rPr>
            </w:pPr>
          </w:p>
        </w:tc>
        <w:tc>
          <w:tcPr>
            <w:tcW w:w="1082" w:type="dxa"/>
            <w:vAlign w:val="center"/>
          </w:tcPr>
          <w:p w14:paraId="0FE067D4">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第六</w:t>
            </w:r>
          </w:p>
          <w:p w14:paraId="7FF453B4">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回合</w:t>
            </w:r>
          </w:p>
        </w:tc>
      </w:tr>
      <w:tr w14:paraId="06A37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951" w:type="dxa"/>
            <w:vMerge w:val="continue"/>
            <w:vAlign w:val="center"/>
          </w:tcPr>
          <w:p w14:paraId="1F2A2A27">
            <w:pPr>
              <w:adjustRightInd w:val="0"/>
              <w:snapToGrid w:val="0"/>
              <w:jc w:val="center"/>
              <w:rPr>
                <w:rFonts w:ascii="宋体" w:hAnsi="宋体"/>
              </w:rPr>
            </w:pPr>
          </w:p>
        </w:tc>
        <w:tc>
          <w:tcPr>
            <w:tcW w:w="1681" w:type="dxa"/>
            <w:vAlign w:val="center"/>
          </w:tcPr>
          <w:p w14:paraId="5017ECBA">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1</w:t>
            </w:r>
            <w:r>
              <w:rPr>
                <w:rFonts w:ascii="宋体" w:hAnsi="宋体"/>
                <w:shd w:val="clear" w:color="auto" w:fill="FFFFFF"/>
              </w:rPr>
              <w:t>7</w:t>
            </w:r>
            <w:r>
              <w:rPr>
                <w:rFonts w:hint="eastAsia" w:ascii="宋体" w:hAnsi="宋体"/>
                <w:shd w:val="clear" w:color="auto" w:fill="FFFFFF"/>
              </w:rPr>
              <w:t>:</w:t>
            </w:r>
            <w:r>
              <w:rPr>
                <w:rFonts w:ascii="宋体" w:hAnsi="宋体"/>
                <w:shd w:val="clear" w:color="auto" w:fill="FFFFFF"/>
              </w:rPr>
              <w:t>0</w:t>
            </w:r>
            <w:r>
              <w:rPr>
                <w:rFonts w:hint="eastAsia" w:ascii="宋体" w:hAnsi="宋体"/>
                <w:shd w:val="clear" w:color="auto" w:fill="FFFFFF"/>
              </w:rPr>
              <w:t>0-1</w:t>
            </w:r>
            <w:r>
              <w:rPr>
                <w:rFonts w:ascii="宋体" w:hAnsi="宋体"/>
                <w:shd w:val="clear" w:color="auto" w:fill="FFFFFF"/>
              </w:rPr>
              <w:t>7</w:t>
            </w:r>
            <w:r>
              <w:rPr>
                <w:rFonts w:hint="eastAsia" w:ascii="宋体" w:hAnsi="宋体"/>
                <w:shd w:val="clear" w:color="auto" w:fill="FFFFFF"/>
              </w:rPr>
              <w:t>:</w:t>
            </w:r>
            <w:r>
              <w:rPr>
                <w:rFonts w:ascii="宋体" w:hAnsi="宋体"/>
                <w:shd w:val="clear" w:color="auto" w:fill="FFFFFF"/>
              </w:rPr>
              <w:t>4</w:t>
            </w:r>
            <w:r>
              <w:rPr>
                <w:rFonts w:hint="eastAsia" w:ascii="宋体" w:hAnsi="宋体"/>
                <w:shd w:val="clear" w:color="auto" w:fill="FFFFFF"/>
              </w:rPr>
              <w:t>0</w:t>
            </w:r>
          </w:p>
        </w:tc>
        <w:tc>
          <w:tcPr>
            <w:tcW w:w="1900" w:type="dxa"/>
            <w:vAlign w:val="center"/>
          </w:tcPr>
          <w:p w14:paraId="1DDEB43B">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外贸B2C模块（R7）</w:t>
            </w:r>
          </w:p>
        </w:tc>
        <w:tc>
          <w:tcPr>
            <w:tcW w:w="1355" w:type="dxa"/>
            <w:vMerge w:val="continue"/>
            <w:vAlign w:val="center"/>
          </w:tcPr>
          <w:p w14:paraId="100B8651">
            <w:pPr>
              <w:shd w:val="solid" w:color="FFFFFF" w:fill="auto"/>
              <w:autoSpaceDN w:val="0"/>
              <w:adjustRightInd w:val="0"/>
              <w:snapToGrid w:val="0"/>
              <w:rPr>
                <w:rFonts w:ascii="宋体" w:hAnsi="宋体"/>
                <w:shd w:val="clear" w:color="auto" w:fill="FFFFFF"/>
              </w:rPr>
            </w:pPr>
          </w:p>
        </w:tc>
        <w:tc>
          <w:tcPr>
            <w:tcW w:w="1213" w:type="dxa"/>
            <w:vMerge w:val="continue"/>
            <w:vAlign w:val="center"/>
          </w:tcPr>
          <w:p w14:paraId="1697B3B0">
            <w:pPr>
              <w:shd w:val="solid" w:color="FFFFFF" w:fill="auto"/>
              <w:autoSpaceDN w:val="0"/>
              <w:adjustRightInd w:val="0"/>
              <w:snapToGrid w:val="0"/>
              <w:jc w:val="center"/>
              <w:rPr>
                <w:rFonts w:ascii="宋体" w:hAnsi="宋体"/>
                <w:shd w:val="clear" w:color="auto" w:fill="FFFFFF"/>
              </w:rPr>
            </w:pPr>
          </w:p>
        </w:tc>
        <w:tc>
          <w:tcPr>
            <w:tcW w:w="1082" w:type="dxa"/>
            <w:vAlign w:val="center"/>
          </w:tcPr>
          <w:p w14:paraId="1D3106B3">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第七</w:t>
            </w:r>
          </w:p>
          <w:p w14:paraId="5D2906BE">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回合</w:t>
            </w:r>
          </w:p>
        </w:tc>
      </w:tr>
      <w:tr w14:paraId="041D4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1" w:type="dxa"/>
            <w:vMerge w:val="continue"/>
            <w:vAlign w:val="center"/>
          </w:tcPr>
          <w:p w14:paraId="5E36EE4C">
            <w:pPr>
              <w:adjustRightInd w:val="0"/>
              <w:snapToGrid w:val="0"/>
              <w:jc w:val="center"/>
              <w:rPr>
                <w:rFonts w:ascii="宋体" w:hAnsi="宋体"/>
              </w:rPr>
            </w:pPr>
          </w:p>
        </w:tc>
        <w:tc>
          <w:tcPr>
            <w:tcW w:w="1681" w:type="dxa"/>
            <w:vAlign w:val="center"/>
          </w:tcPr>
          <w:p w14:paraId="6FB15BFF">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1</w:t>
            </w:r>
            <w:r>
              <w:rPr>
                <w:rFonts w:ascii="宋体" w:hAnsi="宋体"/>
                <w:shd w:val="clear" w:color="auto" w:fill="FFFFFF"/>
              </w:rPr>
              <w:t>7</w:t>
            </w:r>
            <w:r>
              <w:rPr>
                <w:rFonts w:hint="eastAsia" w:ascii="宋体" w:hAnsi="宋体"/>
                <w:shd w:val="clear" w:color="auto" w:fill="FFFFFF"/>
              </w:rPr>
              <w:t>:</w:t>
            </w:r>
            <w:r>
              <w:rPr>
                <w:rFonts w:ascii="宋体" w:hAnsi="宋体"/>
                <w:shd w:val="clear" w:color="auto" w:fill="FFFFFF"/>
              </w:rPr>
              <w:t>4</w:t>
            </w:r>
            <w:r>
              <w:rPr>
                <w:rFonts w:hint="eastAsia" w:ascii="宋体" w:hAnsi="宋体"/>
                <w:shd w:val="clear" w:color="auto" w:fill="FFFFFF"/>
              </w:rPr>
              <w:t>0-1</w:t>
            </w:r>
            <w:r>
              <w:rPr>
                <w:rFonts w:ascii="宋体" w:hAnsi="宋体"/>
                <w:shd w:val="clear" w:color="auto" w:fill="FFFFFF"/>
              </w:rPr>
              <w:t>8</w:t>
            </w:r>
            <w:r>
              <w:rPr>
                <w:rFonts w:hint="eastAsia" w:ascii="宋体" w:hAnsi="宋体"/>
                <w:shd w:val="clear" w:color="auto" w:fill="FFFFFF"/>
              </w:rPr>
              <w:t>:</w:t>
            </w:r>
            <w:r>
              <w:rPr>
                <w:rFonts w:ascii="宋体" w:hAnsi="宋体"/>
                <w:shd w:val="clear" w:color="auto" w:fill="FFFFFF"/>
              </w:rPr>
              <w:t>0</w:t>
            </w:r>
            <w:r>
              <w:rPr>
                <w:rFonts w:hint="eastAsia" w:ascii="宋体" w:hAnsi="宋体"/>
                <w:shd w:val="clear" w:color="auto" w:fill="FFFFFF"/>
              </w:rPr>
              <w:t>0</w:t>
            </w:r>
          </w:p>
        </w:tc>
        <w:tc>
          <w:tcPr>
            <w:tcW w:w="1900" w:type="dxa"/>
            <w:vAlign w:val="center"/>
          </w:tcPr>
          <w:p w14:paraId="7975C895">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外贸B2C模块（R8）</w:t>
            </w:r>
          </w:p>
        </w:tc>
        <w:tc>
          <w:tcPr>
            <w:tcW w:w="1355" w:type="dxa"/>
            <w:vMerge w:val="continue"/>
            <w:vAlign w:val="center"/>
          </w:tcPr>
          <w:p w14:paraId="40B52CEF">
            <w:pPr>
              <w:shd w:val="solid" w:color="FFFFFF" w:fill="auto"/>
              <w:autoSpaceDN w:val="0"/>
              <w:adjustRightInd w:val="0"/>
              <w:snapToGrid w:val="0"/>
              <w:rPr>
                <w:rFonts w:ascii="宋体" w:hAnsi="宋体"/>
                <w:shd w:val="clear" w:color="auto" w:fill="FFFFFF"/>
              </w:rPr>
            </w:pPr>
          </w:p>
        </w:tc>
        <w:tc>
          <w:tcPr>
            <w:tcW w:w="1213" w:type="dxa"/>
            <w:vMerge w:val="continue"/>
            <w:vAlign w:val="center"/>
          </w:tcPr>
          <w:p w14:paraId="0E10B1AB">
            <w:pPr>
              <w:shd w:val="solid" w:color="FFFFFF" w:fill="auto"/>
              <w:autoSpaceDN w:val="0"/>
              <w:adjustRightInd w:val="0"/>
              <w:snapToGrid w:val="0"/>
              <w:jc w:val="center"/>
              <w:rPr>
                <w:rFonts w:ascii="宋体" w:hAnsi="宋体"/>
                <w:shd w:val="clear" w:color="auto" w:fill="FFFFFF"/>
              </w:rPr>
            </w:pPr>
          </w:p>
        </w:tc>
        <w:tc>
          <w:tcPr>
            <w:tcW w:w="1082" w:type="dxa"/>
            <w:vAlign w:val="center"/>
          </w:tcPr>
          <w:p w14:paraId="5C27F55E">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第八</w:t>
            </w:r>
          </w:p>
          <w:p w14:paraId="45003F59">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回合</w:t>
            </w:r>
          </w:p>
        </w:tc>
      </w:tr>
      <w:tr w14:paraId="620C7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vMerge w:val="continue"/>
            <w:vAlign w:val="center"/>
          </w:tcPr>
          <w:p w14:paraId="08B1FC6A">
            <w:pPr>
              <w:adjustRightInd w:val="0"/>
              <w:snapToGrid w:val="0"/>
              <w:jc w:val="center"/>
              <w:rPr>
                <w:rFonts w:ascii="宋体" w:hAnsi="宋体"/>
              </w:rPr>
            </w:pPr>
          </w:p>
        </w:tc>
        <w:tc>
          <w:tcPr>
            <w:tcW w:w="1681" w:type="dxa"/>
            <w:vAlign w:val="center"/>
          </w:tcPr>
          <w:p w14:paraId="39C416E4">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18:00-</w:t>
            </w:r>
            <w:r>
              <w:rPr>
                <w:rFonts w:hint="eastAsia" w:ascii="宋体" w:hAnsi="宋体"/>
                <w:shd w:val="clear" w:color="auto" w:fill="FFFFFF"/>
              </w:rPr>
              <w:t>1</w:t>
            </w:r>
            <w:r>
              <w:rPr>
                <w:rFonts w:ascii="宋体" w:hAnsi="宋体"/>
                <w:shd w:val="clear" w:color="auto" w:fill="FFFFFF"/>
              </w:rPr>
              <w:t>9</w:t>
            </w:r>
            <w:r>
              <w:rPr>
                <w:rFonts w:hint="eastAsia" w:ascii="宋体" w:hAnsi="宋体"/>
                <w:shd w:val="clear" w:color="auto" w:fill="FFFFFF"/>
              </w:rPr>
              <w:t>:</w:t>
            </w:r>
            <w:r>
              <w:rPr>
                <w:rFonts w:ascii="宋体" w:hAnsi="宋体"/>
                <w:shd w:val="clear" w:color="auto" w:fill="FFFFFF"/>
              </w:rPr>
              <w:t>0</w:t>
            </w:r>
            <w:r>
              <w:rPr>
                <w:rFonts w:hint="eastAsia" w:ascii="宋体" w:hAnsi="宋体"/>
                <w:shd w:val="clear" w:color="auto" w:fill="FFFFFF"/>
              </w:rPr>
              <w:t>0</w:t>
            </w:r>
          </w:p>
        </w:tc>
        <w:tc>
          <w:tcPr>
            <w:tcW w:w="1900" w:type="dxa"/>
            <w:vAlign w:val="center"/>
          </w:tcPr>
          <w:p w14:paraId="16437DE1">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检查设备、封闭赛场</w:t>
            </w:r>
          </w:p>
        </w:tc>
        <w:tc>
          <w:tcPr>
            <w:tcW w:w="1355" w:type="dxa"/>
            <w:vAlign w:val="center"/>
          </w:tcPr>
          <w:p w14:paraId="0F06AD96">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裁判、技术人员</w:t>
            </w:r>
          </w:p>
        </w:tc>
        <w:tc>
          <w:tcPr>
            <w:tcW w:w="1213" w:type="dxa"/>
            <w:vAlign w:val="center"/>
          </w:tcPr>
          <w:p w14:paraId="558E46FE">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竞赛场地</w:t>
            </w:r>
          </w:p>
        </w:tc>
        <w:tc>
          <w:tcPr>
            <w:tcW w:w="1082" w:type="dxa"/>
            <w:vAlign w:val="center"/>
          </w:tcPr>
          <w:p w14:paraId="3FCA57CE">
            <w:pPr>
              <w:shd w:val="solid" w:color="FFFFFF" w:fill="auto"/>
              <w:autoSpaceDN w:val="0"/>
              <w:adjustRightInd w:val="0"/>
              <w:snapToGrid w:val="0"/>
              <w:rPr>
                <w:rFonts w:ascii="宋体" w:hAnsi="宋体"/>
                <w:shd w:val="clear" w:color="auto" w:fill="FFFFFF"/>
              </w:rPr>
            </w:pPr>
          </w:p>
        </w:tc>
      </w:tr>
      <w:tr w14:paraId="1F043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951" w:type="dxa"/>
            <w:vMerge w:val="restart"/>
            <w:vAlign w:val="center"/>
          </w:tcPr>
          <w:p w14:paraId="3DFF15F1">
            <w:pPr>
              <w:shd w:val="solid" w:color="FFFFFF" w:fill="auto"/>
              <w:autoSpaceDN w:val="0"/>
              <w:adjustRightInd w:val="0"/>
              <w:snapToGrid w:val="0"/>
              <w:rPr>
                <w:rFonts w:ascii="宋体" w:hAnsi="宋体"/>
              </w:rPr>
            </w:pPr>
            <w:r>
              <w:rPr>
                <w:rFonts w:hint="eastAsia" w:ascii="宋体" w:hAnsi="宋体"/>
              </w:rPr>
              <w:t>竞赛日2</w:t>
            </w:r>
          </w:p>
        </w:tc>
        <w:tc>
          <w:tcPr>
            <w:tcW w:w="1681" w:type="dxa"/>
            <w:vAlign w:val="center"/>
          </w:tcPr>
          <w:p w14:paraId="44CE640C">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8</w:t>
            </w:r>
            <w:r>
              <w:rPr>
                <w:rFonts w:hint="eastAsia" w:ascii="宋体" w:hAnsi="宋体"/>
                <w:shd w:val="clear" w:color="auto" w:fill="FFFFFF"/>
              </w:rPr>
              <w:t>:</w:t>
            </w:r>
            <w:r>
              <w:rPr>
                <w:rFonts w:ascii="宋体" w:hAnsi="宋体"/>
                <w:shd w:val="clear" w:color="auto" w:fill="FFFFFF"/>
              </w:rPr>
              <w:t>0</w:t>
            </w:r>
            <w:r>
              <w:rPr>
                <w:rFonts w:hint="eastAsia" w:ascii="宋体" w:hAnsi="宋体"/>
                <w:shd w:val="clear" w:color="auto" w:fill="FFFFFF"/>
              </w:rPr>
              <w:t>0</w:t>
            </w:r>
          </w:p>
        </w:tc>
        <w:tc>
          <w:tcPr>
            <w:tcW w:w="1900" w:type="dxa"/>
            <w:vAlign w:val="center"/>
          </w:tcPr>
          <w:p w14:paraId="3E9AC608">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竞赛场地前整队</w:t>
            </w:r>
          </w:p>
        </w:tc>
        <w:tc>
          <w:tcPr>
            <w:tcW w:w="1355" w:type="dxa"/>
            <w:vAlign w:val="center"/>
          </w:tcPr>
          <w:p w14:paraId="5D67698A">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各参赛队、工作人员</w:t>
            </w:r>
          </w:p>
        </w:tc>
        <w:tc>
          <w:tcPr>
            <w:tcW w:w="1213" w:type="dxa"/>
            <w:vAlign w:val="center"/>
          </w:tcPr>
          <w:p w14:paraId="41AF181C">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竞赛场地前</w:t>
            </w:r>
          </w:p>
        </w:tc>
        <w:tc>
          <w:tcPr>
            <w:tcW w:w="1082" w:type="dxa"/>
            <w:vAlign w:val="center"/>
          </w:tcPr>
          <w:p w14:paraId="4C332E03">
            <w:pPr>
              <w:shd w:val="solid" w:color="FFFFFF" w:fill="auto"/>
              <w:autoSpaceDN w:val="0"/>
              <w:adjustRightInd w:val="0"/>
              <w:snapToGrid w:val="0"/>
              <w:rPr>
                <w:rFonts w:ascii="宋体" w:hAnsi="宋体"/>
                <w:shd w:val="clear" w:color="auto" w:fill="FFFFFF"/>
              </w:rPr>
            </w:pPr>
          </w:p>
        </w:tc>
      </w:tr>
      <w:tr w14:paraId="671AE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vMerge w:val="continue"/>
            <w:vAlign w:val="center"/>
          </w:tcPr>
          <w:p w14:paraId="5594DC17">
            <w:pPr>
              <w:adjustRightInd w:val="0"/>
              <w:snapToGrid w:val="0"/>
              <w:jc w:val="center"/>
              <w:rPr>
                <w:rFonts w:ascii="宋体" w:hAnsi="宋体"/>
              </w:rPr>
            </w:pPr>
          </w:p>
        </w:tc>
        <w:tc>
          <w:tcPr>
            <w:tcW w:w="1681" w:type="dxa"/>
            <w:vMerge w:val="restart"/>
            <w:vAlign w:val="center"/>
          </w:tcPr>
          <w:p w14:paraId="5462146B">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8</w:t>
            </w:r>
            <w:r>
              <w:rPr>
                <w:rFonts w:hint="eastAsia" w:ascii="宋体" w:hAnsi="宋体"/>
                <w:shd w:val="clear" w:color="auto" w:fill="FFFFFF"/>
              </w:rPr>
              <w:t>:</w:t>
            </w:r>
            <w:r>
              <w:rPr>
                <w:rFonts w:ascii="宋体" w:hAnsi="宋体"/>
                <w:shd w:val="clear" w:color="auto" w:fill="FFFFFF"/>
              </w:rPr>
              <w:t>0</w:t>
            </w:r>
            <w:r>
              <w:rPr>
                <w:rFonts w:hint="eastAsia" w:ascii="宋体" w:hAnsi="宋体"/>
                <w:shd w:val="clear" w:color="auto" w:fill="FFFFFF"/>
              </w:rPr>
              <w:t>0-8:</w:t>
            </w:r>
            <w:r>
              <w:rPr>
                <w:rFonts w:ascii="宋体" w:hAnsi="宋体"/>
                <w:shd w:val="clear" w:color="auto" w:fill="FFFFFF"/>
              </w:rPr>
              <w:t>3</w:t>
            </w:r>
            <w:r>
              <w:rPr>
                <w:rFonts w:hint="eastAsia" w:ascii="宋体" w:hAnsi="宋体"/>
                <w:shd w:val="clear" w:color="auto" w:fill="FFFFFF"/>
              </w:rPr>
              <w:t>0</w:t>
            </w:r>
          </w:p>
        </w:tc>
        <w:tc>
          <w:tcPr>
            <w:tcW w:w="1900" w:type="dxa"/>
            <w:vAlign w:val="center"/>
          </w:tcPr>
          <w:p w14:paraId="7015401D">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外贸B2B模块</w:t>
            </w:r>
          </w:p>
          <w:p w14:paraId="7EBC4B9E">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检录进场</w:t>
            </w:r>
          </w:p>
          <w:p w14:paraId="5B6ABDFE">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第一次加密抽签（抽序号）</w:t>
            </w:r>
          </w:p>
        </w:tc>
        <w:tc>
          <w:tcPr>
            <w:tcW w:w="1355" w:type="dxa"/>
            <w:vAlign w:val="center"/>
          </w:tcPr>
          <w:p w14:paraId="673218CA">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参赛选手、抽签加密裁判</w:t>
            </w:r>
          </w:p>
        </w:tc>
        <w:tc>
          <w:tcPr>
            <w:tcW w:w="1213" w:type="dxa"/>
            <w:vAlign w:val="center"/>
          </w:tcPr>
          <w:p w14:paraId="2F69B51B">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一次抽签区域</w:t>
            </w:r>
          </w:p>
        </w:tc>
        <w:tc>
          <w:tcPr>
            <w:tcW w:w="1082" w:type="dxa"/>
            <w:vAlign w:val="center"/>
          </w:tcPr>
          <w:p w14:paraId="720169C7">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按照竞赛指南参赛队伍名单顺序抽签</w:t>
            </w:r>
          </w:p>
        </w:tc>
      </w:tr>
      <w:tr w14:paraId="4A966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vMerge w:val="continue"/>
            <w:vAlign w:val="center"/>
          </w:tcPr>
          <w:p w14:paraId="347950C0">
            <w:pPr>
              <w:adjustRightInd w:val="0"/>
              <w:snapToGrid w:val="0"/>
              <w:jc w:val="center"/>
              <w:rPr>
                <w:rFonts w:ascii="宋体" w:hAnsi="宋体"/>
              </w:rPr>
            </w:pPr>
          </w:p>
        </w:tc>
        <w:tc>
          <w:tcPr>
            <w:tcW w:w="1681" w:type="dxa"/>
            <w:vMerge w:val="continue"/>
            <w:vAlign w:val="center"/>
          </w:tcPr>
          <w:p w14:paraId="1291527D">
            <w:pPr>
              <w:shd w:val="solid" w:color="FFFFFF" w:fill="auto"/>
              <w:autoSpaceDN w:val="0"/>
              <w:adjustRightInd w:val="0"/>
              <w:snapToGrid w:val="0"/>
              <w:jc w:val="center"/>
              <w:rPr>
                <w:rFonts w:ascii="宋体" w:hAnsi="宋体"/>
                <w:shd w:val="clear" w:color="auto" w:fill="FFFFFF"/>
              </w:rPr>
            </w:pPr>
          </w:p>
        </w:tc>
        <w:tc>
          <w:tcPr>
            <w:tcW w:w="1900" w:type="dxa"/>
            <w:vAlign w:val="center"/>
          </w:tcPr>
          <w:p w14:paraId="1CF76B0B">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第二次加密抽签（抽赛位号）</w:t>
            </w:r>
          </w:p>
        </w:tc>
        <w:tc>
          <w:tcPr>
            <w:tcW w:w="1355" w:type="dxa"/>
            <w:vAlign w:val="center"/>
          </w:tcPr>
          <w:p w14:paraId="20079F50">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参赛选手、抽签加密裁判</w:t>
            </w:r>
          </w:p>
        </w:tc>
        <w:tc>
          <w:tcPr>
            <w:tcW w:w="1213" w:type="dxa"/>
            <w:vAlign w:val="center"/>
          </w:tcPr>
          <w:p w14:paraId="2BC823C5">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二次抽签区域</w:t>
            </w:r>
          </w:p>
        </w:tc>
        <w:tc>
          <w:tcPr>
            <w:tcW w:w="1082" w:type="dxa"/>
            <w:vAlign w:val="center"/>
          </w:tcPr>
          <w:p w14:paraId="11FF0E80">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选手进入赛场按照赛位号就座</w:t>
            </w:r>
          </w:p>
        </w:tc>
      </w:tr>
      <w:tr w14:paraId="5296C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vMerge w:val="continue"/>
            <w:vAlign w:val="center"/>
          </w:tcPr>
          <w:p w14:paraId="7C2694B3">
            <w:pPr>
              <w:adjustRightInd w:val="0"/>
              <w:snapToGrid w:val="0"/>
              <w:jc w:val="center"/>
              <w:rPr>
                <w:rFonts w:ascii="宋体" w:hAnsi="宋体"/>
              </w:rPr>
            </w:pPr>
          </w:p>
        </w:tc>
        <w:tc>
          <w:tcPr>
            <w:tcW w:w="1681" w:type="dxa"/>
            <w:vAlign w:val="center"/>
          </w:tcPr>
          <w:p w14:paraId="0DD7003C">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8:</w:t>
            </w:r>
            <w:r>
              <w:rPr>
                <w:rFonts w:ascii="宋体" w:hAnsi="宋体"/>
                <w:shd w:val="clear" w:color="auto" w:fill="FFFFFF"/>
              </w:rPr>
              <w:t>3</w:t>
            </w:r>
            <w:r>
              <w:rPr>
                <w:rFonts w:hint="eastAsia" w:ascii="宋体" w:hAnsi="宋体"/>
                <w:shd w:val="clear" w:color="auto" w:fill="FFFFFF"/>
              </w:rPr>
              <w:t>0-12:</w:t>
            </w:r>
            <w:r>
              <w:rPr>
                <w:rFonts w:ascii="宋体" w:hAnsi="宋体"/>
                <w:shd w:val="clear" w:color="auto" w:fill="FFFFFF"/>
              </w:rPr>
              <w:t>3</w:t>
            </w:r>
            <w:r>
              <w:rPr>
                <w:rFonts w:hint="eastAsia" w:ascii="宋体" w:hAnsi="宋体"/>
                <w:shd w:val="clear" w:color="auto" w:fill="FFFFFF"/>
              </w:rPr>
              <w:t>0</w:t>
            </w:r>
          </w:p>
        </w:tc>
        <w:tc>
          <w:tcPr>
            <w:tcW w:w="1900" w:type="dxa"/>
            <w:vAlign w:val="center"/>
          </w:tcPr>
          <w:p w14:paraId="112B3A4D">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外贸B2B模块</w:t>
            </w:r>
          </w:p>
        </w:tc>
        <w:tc>
          <w:tcPr>
            <w:tcW w:w="1355" w:type="dxa"/>
            <w:vAlign w:val="center"/>
          </w:tcPr>
          <w:p w14:paraId="5ACCF8FB">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参赛选手、裁判</w:t>
            </w:r>
          </w:p>
        </w:tc>
        <w:tc>
          <w:tcPr>
            <w:tcW w:w="1213" w:type="dxa"/>
            <w:vAlign w:val="center"/>
          </w:tcPr>
          <w:p w14:paraId="0A417FBD">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竞赛场地</w:t>
            </w:r>
          </w:p>
        </w:tc>
        <w:tc>
          <w:tcPr>
            <w:tcW w:w="1082" w:type="dxa"/>
            <w:vAlign w:val="center"/>
          </w:tcPr>
          <w:p w14:paraId="69092BBF">
            <w:pPr>
              <w:shd w:val="solid" w:color="FFFFFF" w:fill="auto"/>
              <w:autoSpaceDN w:val="0"/>
              <w:adjustRightInd w:val="0"/>
              <w:snapToGrid w:val="0"/>
              <w:rPr>
                <w:rFonts w:ascii="宋体" w:hAnsi="宋体"/>
                <w:shd w:val="clear" w:color="auto" w:fill="FFFFFF"/>
              </w:rPr>
            </w:pPr>
          </w:p>
        </w:tc>
      </w:tr>
      <w:tr w14:paraId="1FA6B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vMerge w:val="continue"/>
            <w:vAlign w:val="center"/>
          </w:tcPr>
          <w:p w14:paraId="40418373">
            <w:pPr>
              <w:adjustRightInd w:val="0"/>
              <w:snapToGrid w:val="0"/>
              <w:jc w:val="center"/>
              <w:rPr>
                <w:rFonts w:ascii="宋体" w:hAnsi="宋体"/>
              </w:rPr>
            </w:pPr>
          </w:p>
        </w:tc>
        <w:tc>
          <w:tcPr>
            <w:tcW w:w="1681" w:type="dxa"/>
            <w:vAlign w:val="center"/>
          </w:tcPr>
          <w:p w14:paraId="51B857F5">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12:</w:t>
            </w:r>
            <w:r>
              <w:rPr>
                <w:rFonts w:ascii="宋体" w:hAnsi="宋体"/>
                <w:shd w:val="clear" w:color="auto" w:fill="FFFFFF"/>
              </w:rPr>
              <w:t>4</w:t>
            </w:r>
            <w:r>
              <w:rPr>
                <w:rFonts w:hint="eastAsia" w:ascii="宋体" w:hAnsi="宋体"/>
                <w:shd w:val="clear" w:color="auto" w:fill="FFFFFF"/>
              </w:rPr>
              <w:t>0-13:</w:t>
            </w:r>
            <w:r>
              <w:rPr>
                <w:rFonts w:ascii="宋体" w:hAnsi="宋体"/>
                <w:shd w:val="clear" w:color="auto" w:fill="FFFFFF"/>
              </w:rPr>
              <w:t>3</w:t>
            </w:r>
            <w:r>
              <w:rPr>
                <w:rFonts w:hint="eastAsia" w:ascii="宋体" w:hAnsi="宋体"/>
                <w:shd w:val="clear" w:color="auto" w:fill="FFFFFF"/>
              </w:rPr>
              <w:t>0</w:t>
            </w:r>
          </w:p>
        </w:tc>
        <w:tc>
          <w:tcPr>
            <w:tcW w:w="1900" w:type="dxa"/>
            <w:vAlign w:val="center"/>
          </w:tcPr>
          <w:p w14:paraId="6F4DF1FB">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检查设备、封闭赛场</w:t>
            </w:r>
          </w:p>
        </w:tc>
        <w:tc>
          <w:tcPr>
            <w:tcW w:w="1355" w:type="dxa"/>
            <w:vAlign w:val="center"/>
          </w:tcPr>
          <w:p w14:paraId="6B31DEA8">
            <w:pPr>
              <w:shd w:val="solid" w:color="FFFFFF" w:fill="auto"/>
              <w:autoSpaceDN w:val="0"/>
              <w:adjustRightInd w:val="0"/>
              <w:snapToGrid w:val="0"/>
              <w:rPr>
                <w:rFonts w:ascii="宋体" w:hAnsi="宋体"/>
                <w:shd w:val="clear" w:color="auto" w:fill="FFFFFF"/>
              </w:rPr>
            </w:pPr>
            <w:r>
              <w:rPr>
                <w:rFonts w:hint="eastAsia" w:ascii="宋体" w:hAnsi="宋体"/>
                <w:shd w:val="clear" w:color="auto" w:fill="FFFFFF"/>
              </w:rPr>
              <w:t>参赛选手、裁判、工作人员</w:t>
            </w:r>
          </w:p>
        </w:tc>
        <w:tc>
          <w:tcPr>
            <w:tcW w:w="1213" w:type="dxa"/>
            <w:vAlign w:val="center"/>
          </w:tcPr>
          <w:p w14:paraId="4977A98F">
            <w:pPr>
              <w:shd w:val="solid" w:color="FFFFFF" w:fill="auto"/>
              <w:autoSpaceDN w:val="0"/>
              <w:adjustRightInd w:val="0"/>
              <w:snapToGrid w:val="0"/>
              <w:jc w:val="center"/>
              <w:rPr>
                <w:rFonts w:ascii="宋体" w:hAnsi="宋体"/>
                <w:shd w:val="clear" w:color="auto" w:fill="FFFFFF"/>
              </w:rPr>
            </w:pPr>
            <w:r>
              <w:rPr>
                <w:rFonts w:hint="eastAsia" w:ascii="宋体" w:hAnsi="宋体"/>
                <w:shd w:val="clear" w:color="auto" w:fill="FFFFFF"/>
              </w:rPr>
              <w:t>竞赛场地</w:t>
            </w:r>
          </w:p>
        </w:tc>
        <w:tc>
          <w:tcPr>
            <w:tcW w:w="1082" w:type="dxa"/>
            <w:vAlign w:val="center"/>
          </w:tcPr>
          <w:p w14:paraId="116930BC">
            <w:pPr>
              <w:shd w:val="solid" w:color="FFFFFF" w:fill="auto"/>
              <w:autoSpaceDN w:val="0"/>
              <w:adjustRightInd w:val="0"/>
              <w:snapToGrid w:val="0"/>
              <w:rPr>
                <w:rFonts w:ascii="宋体" w:hAnsi="宋体"/>
                <w:shd w:val="clear" w:color="auto" w:fill="FFFFFF"/>
              </w:rPr>
            </w:pPr>
          </w:p>
        </w:tc>
      </w:tr>
    </w:tbl>
    <w:p w14:paraId="5BB35D49">
      <w:pPr>
        <w:pStyle w:val="7"/>
      </w:pPr>
    </w:p>
    <w:p w14:paraId="7F59F2C3">
      <w:pPr>
        <w:snapToGrid w:val="0"/>
        <w:spacing w:line="560" w:lineRule="exact"/>
        <w:ind w:firstLine="640" w:firstLineChars="200"/>
        <w:rPr>
          <w:rFonts w:ascii="黑体" w:hAnsi="黑体" w:eastAsia="黑体" w:cs="黑体"/>
          <w:kern w:val="0"/>
          <w:sz w:val="32"/>
          <w:szCs w:val="32"/>
        </w:rPr>
      </w:pPr>
      <w:r>
        <w:rPr>
          <w:rFonts w:hint="eastAsia" w:ascii="黑体" w:hAnsi="黑体" w:eastAsia="黑体" w:cs="黑体"/>
          <w:kern w:val="0"/>
          <w:sz w:val="32"/>
          <w:szCs w:val="32"/>
        </w:rPr>
        <w:t>六、竞赛规则</w:t>
      </w:r>
    </w:p>
    <w:p w14:paraId="1FD40158">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（一）报名要求</w:t>
      </w:r>
    </w:p>
    <w:p w14:paraId="7C295DC5">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参赛选手和指导教师报名获得确认后不得随意更换。如备赛过程中参赛选手和指导教师因故无法参赛，须由各参赛院校于相关赛项开赛10个工作日之前向省教育厅相关主管部门出具书面说明，经省教育厅相关主管部门核实后予以更换。竞赛开始后，参赛队不得更换参赛队员，允许队员缺席比赛。</w:t>
      </w:r>
    </w:p>
    <w:p w14:paraId="21FFC7C8">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（二）赛前准备</w:t>
      </w:r>
    </w:p>
    <w:p w14:paraId="3E3FBA0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1.领队会议：比赛日前一天下午召开领队会议，由各参赛队伍的领队和指导教师参加，会议讲解竞赛注意事项并进行赛前答疑。</w:t>
      </w:r>
    </w:p>
    <w:p w14:paraId="2597063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2.熟悉场地：比赛日前一天下午开放赛场，熟悉场地。</w:t>
      </w:r>
    </w:p>
    <w:p w14:paraId="49764E1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3.抽签仪式：比赛前一小时内举行抽签仪式，由各参赛队自行确定一名选手抽签，通过抽签确定各参赛队伍的赛场座次。</w:t>
      </w:r>
    </w:p>
    <w:p w14:paraId="777B80C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参赛队员入场：参赛选手应提前15分钟到达赛场，凭参赛证、身份证检录后，按要求入场，不得迟到早退。并根据抽签结果在对应的赛位入座，裁判负责核对参赛队员信息；严禁参赛选手携带任何电子设备、通讯设备及其他相关资料与用品入场。</w:t>
      </w:r>
    </w:p>
    <w:p w14:paraId="62491EE3">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（三）比赛期间</w:t>
      </w:r>
    </w:p>
    <w:p w14:paraId="6EFD78C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1.各参赛队伍打开电脑，根据对应的账号密码进入竞赛平台，由裁判长宣布比赛开始，各参赛队伍开始竞赛。</w:t>
      </w:r>
    </w:p>
    <w:p w14:paraId="5CAAB01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竞赛过程中，如有疑问，参赛选手应举手示意，项目裁判长应按照有关要求及时予以答疑。如遇设备或软件等故障，参赛选手应举手示意。项目裁判长、技术人员等应及时予以解决。确因计算机软件或硬件故障，致使操作无法继续的，经项目裁判长确认，予以启用备用计算机。如遇身体不适，参赛选手应举手示意，现场医务人员按应急预案救治。</w:t>
      </w:r>
    </w:p>
    <w:p w14:paraId="1DE87D1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3.竞赛过程中不得在任何地方出现与参赛者身份信息相关的内容，一经发现，以作弊论处，取消比赛成绩并通报。</w:t>
      </w:r>
    </w:p>
    <w:p w14:paraId="1B66B0BC">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（四）赛后离场</w:t>
      </w:r>
    </w:p>
    <w:p w14:paraId="251307BB">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竞赛结束后，参赛选手须遵循裁判长的统一指令行动，在裁判长发出离场指令后方可离开赛场。参赛选手不得将赛场内的任何物品带离赛场。</w:t>
      </w:r>
    </w:p>
    <w:p w14:paraId="1E536384">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（五）成绩公布</w:t>
      </w:r>
    </w:p>
    <w:p w14:paraId="529DF6C0">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1.竞赛结束，经公示程序后，裁判公布竞赛结果，并将成绩登录在竞赛成绩单上。</w:t>
      </w:r>
    </w:p>
    <w:p w14:paraId="6F75BD2A">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2.必要的裁判等相关人员签字后，裁判长签字。赛场裁判将数据进行备份和保存，成绩单提交给大赛组委会备案。</w:t>
      </w:r>
    </w:p>
    <w:p w14:paraId="49C1E5F1">
      <w:pPr>
        <w:spacing w:line="600" w:lineRule="exact"/>
        <w:ind w:firstLine="640" w:firstLineChars="200"/>
      </w:pPr>
      <w:r>
        <w:rPr>
          <w:rFonts w:hint="eastAsia" w:ascii="仿宋_GB2312" w:hAnsi="仿宋_GB2312" w:eastAsia="仿宋_GB2312" w:cs="仿宋_GB2312"/>
          <w:sz w:val="32"/>
          <w:szCs w:val="32"/>
        </w:rPr>
        <w:t>3．参赛代表队若对赛事有异议，可由领队按规程提出书面申诉。</w:t>
      </w:r>
    </w:p>
    <w:p w14:paraId="7623147A">
      <w:pPr>
        <w:snapToGrid w:val="0"/>
        <w:spacing w:line="560" w:lineRule="exact"/>
        <w:ind w:firstLine="640" w:firstLineChars="200"/>
        <w:rPr>
          <w:rFonts w:ascii="黑体" w:hAnsi="黑体" w:eastAsia="黑体" w:cs="黑体"/>
          <w:kern w:val="0"/>
          <w:sz w:val="32"/>
          <w:szCs w:val="32"/>
        </w:rPr>
      </w:pPr>
      <w:r>
        <w:rPr>
          <w:rFonts w:hint="eastAsia" w:ascii="黑体" w:hAnsi="黑体" w:eastAsia="黑体" w:cs="黑体"/>
          <w:kern w:val="0"/>
          <w:sz w:val="32"/>
          <w:szCs w:val="32"/>
        </w:rPr>
        <w:t>七、技术规范</w:t>
      </w:r>
    </w:p>
    <w:p w14:paraId="6A00318D">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（一）依据国际规范</w:t>
      </w:r>
    </w:p>
    <w:p w14:paraId="5B933E45">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1.《联合国国际货物销售合同公约》（the United Nations Convention on Contracts for the International Sale of Goods，CISG）</w:t>
      </w:r>
    </w:p>
    <w:p w14:paraId="76AF050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2.国际商会《跟单信用证统一惯例（UCP600）》（Uniform Customs and Practice for Documentary Credits）</w:t>
      </w:r>
    </w:p>
    <w:p w14:paraId="30AC1B02">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3.《关于审核跟单信用证项下单据的国际标准银行实务（ISBP821）》（International Standard Banking Practice for the Examination of Documents under Documentary，ICC Publication No.821）</w:t>
      </w:r>
    </w:p>
    <w:p w14:paraId="3C03506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4.《2020国际贸易术语解释通则》（International Rules for the Interpretation of Trade Terms,Incoterms 2020）</w:t>
      </w:r>
    </w:p>
    <w:p w14:paraId="660B4350">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5.国际商会《托收统一规则（URC522）》（Uniform Rules for Collections, ICC Publication No.522）</w:t>
      </w:r>
    </w:p>
    <w:p w14:paraId="4DCE605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6.世界海关组织《商品名称及编码协调制度》</w:t>
      </w:r>
    </w:p>
    <w:p w14:paraId="0D6942E2">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7.SWIFT Standards User Handbook.【DB/OL】. https://www2.swift.com/knowledgecentre/productcategory#Standards.-/2025-11-10</w:t>
      </w:r>
    </w:p>
    <w:p w14:paraId="2A551EA3">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（二）依据国家标准</w:t>
      </w:r>
    </w:p>
    <w:p w14:paraId="35B2A08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1.GB/T 30055-2013国际货运代理报关服务质量要求</w:t>
      </w:r>
    </w:p>
    <w:p w14:paraId="6198CEEB">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2.GB/T 39456-2020国际贸易业务流程规范 订单处理</w:t>
      </w:r>
    </w:p>
    <w:p w14:paraId="5321C99E">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3.GB/T 39455-2020国际贸易业务流程规范 货运代理</w:t>
      </w:r>
    </w:p>
    <w:p w14:paraId="4C73D4F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4.GB/T 15310.1-2014 国际贸易出口单证格式 第1部分：商业发票</w:t>
      </w:r>
    </w:p>
    <w:p w14:paraId="0CA5413E">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5.GB/T 15310.2-2009 国际贸易出口单证格式 第2部分：装箱单</w:t>
      </w:r>
    </w:p>
    <w:p w14:paraId="36F511F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6.GB/T 15310.3-2009 国际贸易出口单证格式 第3部分：装运通知</w:t>
      </w:r>
    </w:p>
    <w:p w14:paraId="32DE987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7.GB/T 14392.1-2022 国际贸易单证样式 第1部分：纸质单证</w:t>
      </w:r>
    </w:p>
    <w:p w14:paraId="22D993A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8.GB/T 14392.3-2023 国际贸易单证样式 第3部分：应用指南</w:t>
      </w:r>
    </w:p>
    <w:p w14:paraId="1B0D45DB">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9.GB/T 29624-2013 国际贸易托运单样式</w:t>
      </w:r>
    </w:p>
    <w:p w14:paraId="09118E15">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10.GB/T 39457-2020 国际贸易业务流程规范 汇付通知</w:t>
      </w:r>
    </w:p>
    <w:p w14:paraId="2A229BE2">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11.HS/T 32-2010报关服务作业规范</w:t>
      </w:r>
    </w:p>
    <w:p w14:paraId="3F90349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12.HS/T 38-2013报关服务质量要求</w:t>
      </w:r>
    </w:p>
    <w:p w14:paraId="66D8C229">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13.GB/T 31232.1-2018 电子商务统计指标体系第1部分：总体</w:t>
      </w:r>
    </w:p>
    <w:p w14:paraId="51710929">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14.GB/T 31232.2-2014 电子商务统计指标体系第2部分：在线营销</w:t>
      </w:r>
    </w:p>
    <w:p w14:paraId="0363CC12">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15.GB∕T 38652-2020 电子商务业务术语</w:t>
      </w:r>
    </w:p>
    <w:p w14:paraId="2C84E7EA">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16.GB/T 41126-2021跨境电子商务 出口经营主体信息描述规范</w:t>
      </w:r>
    </w:p>
    <w:p w14:paraId="2A32446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17.GB/T 41128-2021跨境电子商务 出口商品信息描述规范</w:t>
      </w:r>
    </w:p>
    <w:p w14:paraId="3ABB545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18.GB/T 40105-2021跨境电子商务交易要求</w:t>
      </w:r>
    </w:p>
    <w:p w14:paraId="73BC16B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19.GB/T 40290-2021跨境电子商务 进口商品信息发布规范</w:t>
      </w:r>
    </w:p>
    <w:p w14:paraId="34F040F4">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20.GB/T 40292-2021跨境电子商务 电子运单规范</w:t>
      </w:r>
    </w:p>
    <w:p w14:paraId="07313DF5">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21.GB/T 39676-2020跨境电子商务 物流信息申报和支付信息申报电子单证</w:t>
      </w:r>
    </w:p>
    <w:p w14:paraId="314CE94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22.GB/T 37146-2018跨境电子商务电子舱单基础信息描述</w:t>
      </w:r>
    </w:p>
    <w:p w14:paraId="415610D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23.GB/T 37147-2018跨境电子商务电子订单基础信息描述</w:t>
      </w:r>
    </w:p>
    <w:p w14:paraId="173412A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24.GB/T 37148-2018跨境电子商务电子报关单基础信息描述</w:t>
      </w:r>
    </w:p>
    <w:p w14:paraId="6B37C78F">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（三）依据职业教育国家教学资源库</w:t>
      </w:r>
    </w:p>
    <w:p w14:paraId="26A705FB">
      <w:pPr>
        <w:spacing w:line="600" w:lineRule="exact"/>
        <w:ind w:firstLine="640" w:firstLineChars="200"/>
      </w:pPr>
      <w:r>
        <w:rPr>
          <w:rFonts w:hint="eastAsia" w:ascii="仿宋_GB2312" w:hAnsi="仿宋_GB2312" w:eastAsia="仿宋_GB2312" w:cs="仿宋_GB2312"/>
          <w:sz w:val="32"/>
          <w:szCs w:val="32"/>
        </w:rPr>
        <w:t xml:space="preserve">《职业教育国际经济与贸易专业国家教学资源库》【DB/OL】. </w:t>
      </w:r>
      <w:r>
        <w:fldChar w:fldCharType="begin"/>
      </w:r>
      <w:r>
        <w:instrText xml:space="preserve"> HYPERLINK "https://www.icve.com.cn/portalproject/themes/default/mwaoaowklbba8tromiqvqw/sta_page/index.html." </w:instrText>
      </w:r>
      <w:r>
        <w:fldChar w:fldCharType="separate"/>
      </w:r>
      <w:r>
        <w:rPr>
          <w:rFonts w:hint="eastAsia" w:ascii="仿宋_GB2312" w:hAnsi="仿宋_GB2312" w:eastAsia="仿宋_GB2312" w:cs="仿宋_GB2312"/>
          <w:sz w:val="32"/>
          <w:szCs w:val="32"/>
        </w:rPr>
        <w:t>https://www.icve.com.cn/portalproject/themes/default/mwaoaowklbba8tromiqvqw/sta_page/index.html.</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 xml:space="preserve"> -/2025-11-10</w:t>
      </w:r>
    </w:p>
    <w:p w14:paraId="54907CA1">
      <w:pPr>
        <w:snapToGrid w:val="0"/>
        <w:spacing w:line="560" w:lineRule="exact"/>
        <w:ind w:firstLine="640" w:firstLineChars="200"/>
        <w:rPr>
          <w:rFonts w:ascii="黑体" w:hAnsi="黑体" w:eastAsia="黑体" w:cs="黑体"/>
          <w:kern w:val="0"/>
          <w:sz w:val="32"/>
          <w:szCs w:val="32"/>
        </w:rPr>
      </w:pPr>
      <w:r>
        <w:rPr>
          <w:rFonts w:hint="eastAsia" w:ascii="黑体" w:hAnsi="黑体" w:eastAsia="黑体" w:cs="黑体"/>
          <w:kern w:val="0"/>
          <w:sz w:val="32"/>
          <w:szCs w:val="32"/>
        </w:rPr>
        <w:t>八、技术环境</w:t>
      </w:r>
    </w:p>
    <w:p w14:paraId="5A71ABD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1.外贸B2B模块、外贸履约模块、外贸B2C模块竞赛场地设在电脑机房，场地内设置满足参赛团队数量的竞赛环境，场地将根据报名参赛队伍数量分隔成多个区域，每个区域内设置多个赛位。外贸B2B模块</w:t>
      </w:r>
      <w:bookmarkStart w:id="0" w:name="OLE_LINK3"/>
      <w:bookmarkStart w:id="1" w:name="OLE_LINK2"/>
      <w:r>
        <w:rPr>
          <w:rFonts w:hint="eastAsia" w:ascii="仿宋_GB2312" w:hAnsi="仿宋_GB2312" w:eastAsia="仿宋_GB2312" w:cs="仿宋_GB2312"/>
          <w:sz w:val="32"/>
          <w:szCs w:val="32"/>
        </w:rPr>
        <w:t>、外贸履约模块、外贸B2C模块一个参赛队的每个小组的两名选手一个机位</w:t>
      </w:r>
      <w:bookmarkEnd w:id="0"/>
      <w:bookmarkEnd w:id="1"/>
      <w:r>
        <w:rPr>
          <w:rFonts w:hint="eastAsia" w:ascii="仿宋_GB2312" w:hAnsi="仿宋_GB2312" w:eastAsia="仿宋_GB2312" w:cs="仿宋_GB2312"/>
          <w:sz w:val="32"/>
          <w:szCs w:val="32"/>
        </w:rPr>
        <w:t>，每个机位两台电脑，其中一台电脑备用，桌椅备足。</w:t>
      </w:r>
    </w:p>
    <w:p w14:paraId="54D92A5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2.竞赛场地内设置主席台，便于竞赛全程的监督。</w:t>
      </w:r>
    </w:p>
    <w:p w14:paraId="396484D0">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3.竞赛场地内设置背景板、宣传横幅及壁挂图，营造竞赛氛围。</w:t>
      </w:r>
    </w:p>
    <w:p w14:paraId="2F7D105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4.局域网络。采用星形网络拓扑结构，安装千兆交换机。网线与电源线隐蔽铺设。采用独立网络环境，不连接INTERNET，禁止外部电脑接入。</w:t>
      </w:r>
    </w:p>
    <w:p w14:paraId="5521EE40">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5.安全保障。采用统一的杀毒软件对服务器进行防毒保护。屏蔽竞赛现场使用的电脑USB接口。部署具有网络管理、账号管理和日志管理功能的综合监控系统。</w:t>
      </w:r>
    </w:p>
    <w:p w14:paraId="3773DCFF">
      <w:pPr>
        <w:spacing w:line="600" w:lineRule="exact"/>
        <w:ind w:firstLine="640" w:firstLineChars="200"/>
      </w:pPr>
      <w:r>
        <w:rPr>
          <w:rFonts w:hint="eastAsia" w:ascii="仿宋_GB2312" w:hAnsi="仿宋_GB2312" w:eastAsia="仿宋_GB2312" w:cs="仿宋_GB2312"/>
          <w:sz w:val="32"/>
          <w:szCs w:val="32"/>
        </w:rPr>
        <w:t>6.采用双路供电；利用UPS防止现场因突然断电导致的系统数据丢失，额定功率：3KVA，后备时间：2小时，电池类型：输出电压：230V±5%V。</w:t>
      </w:r>
    </w:p>
    <w:p w14:paraId="16DEB970">
      <w:pPr>
        <w:snapToGrid w:val="0"/>
        <w:spacing w:line="560" w:lineRule="exact"/>
        <w:ind w:firstLine="640" w:firstLineChars="200"/>
        <w:rPr>
          <w:rFonts w:ascii="黑体" w:hAnsi="黑体" w:eastAsia="黑体" w:cs="黑体"/>
          <w:kern w:val="0"/>
          <w:sz w:val="32"/>
          <w:szCs w:val="32"/>
        </w:rPr>
      </w:pPr>
      <w:r>
        <w:rPr>
          <w:rFonts w:hint="eastAsia" w:ascii="黑体" w:hAnsi="黑体" w:eastAsia="黑体" w:cs="黑体"/>
          <w:kern w:val="0"/>
          <w:sz w:val="32"/>
          <w:szCs w:val="32"/>
        </w:rPr>
        <w:t>九、竞赛样题</w:t>
      </w:r>
    </w:p>
    <w:p w14:paraId="616EA92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本赛项包括外贸B2B、外贸履约和外贸B2C三个模块，赛题类型为操作题，赛题内容范例如下。</w:t>
      </w:r>
    </w:p>
    <w:p w14:paraId="5136CA90">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（一）外贸B2B模块</w:t>
      </w:r>
    </w:p>
    <w:p w14:paraId="02001BA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考察内容包括外贸B2B平台推广及外贸业务操作两部分。选手通过外贸B2B平台推广公司和产品，带来业务机会。</w:t>
      </w:r>
    </w:p>
    <w:p w14:paraId="164711F5">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背景资料：</w:t>
      </w:r>
    </w:p>
    <w:p w14:paraId="6A0DCCD5">
      <w:pPr>
        <w:spacing w:line="60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贸易国家：中国、</w:t>
      </w:r>
      <w:r>
        <w:rPr>
          <w:rFonts w:hint="eastAsia" w:ascii="仿宋_GB2312" w:hAnsi="仿宋_GB2312" w:eastAsia="仿宋_GB2312" w:cs="仿宋_GB2312"/>
          <w:sz w:val="32"/>
          <w:szCs w:val="32"/>
          <w:lang w:val="en-US" w:eastAsia="zh-CN"/>
        </w:rPr>
        <w:t>巴西</w:t>
      </w:r>
    </w:p>
    <w:p w14:paraId="6FA9FDD5">
      <w:pPr>
        <w:spacing w:line="6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1.注册公司</w:t>
      </w:r>
    </w:p>
    <w:p w14:paraId="0789131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公司已完成注册，无需选手自己填写。</w:t>
      </w:r>
    </w:p>
    <w:p w14:paraId="0989D828">
      <w:pPr>
        <w:spacing w:line="6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2.业务推广</w:t>
      </w:r>
    </w:p>
    <w:p w14:paraId="71140F1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通过外贸B2B电子商务平台进行公司和产品的推广和宣传，获得进出口业务机会。</w:t>
      </w:r>
    </w:p>
    <w:p w14:paraId="5D86EC05">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2.1 建站管理</w:t>
      </w:r>
    </w:p>
    <w:p w14:paraId="1C172232">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（1）管理公司信息</w:t>
      </w:r>
    </w:p>
    <w:p w14:paraId="05BFF2D4">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完善自己的公司信息，需填写公司的主营业务、更多的经营产品、公司详细信息、设置公司标志、公司形象展示图。管理及查看公司的营业执照、管理体系证书、产品检测报告、荣誉证书、专利证书等。</w:t>
      </w:r>
    </w:p>
    <w:p w14:paraId="6041137A">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要求：</w:t>
      </w:r>
    </w:p>
    <w:p w14:paraId="15D26AAD">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①主营业务：填写公司的主营业务，要求为英文，尽量完整，至少填写1项，最多可填写5项 。</w:t>
      </w:r>
    </w:p>
    <w:p w14:paraId="2E93BCFA">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②更多的经营产品：填写公司的其他经营产品，要求为英文，尽量完整，最多可填写10项。</w:t>
      </w:r>
    </w:p>
    <w:p w14:paraId="006AD25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③公司详细信息：描述公司的详细信息，要求为英文，尽量填写完整。</w:t>
      </w:r>
    </w:p>
    <w:p w14:paraId="182DF5B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④设置公司标志：从系统给定的图片中任意选择一个作为公司标志。</w:t>
      </w:r>
    </w:p>
    <w:p w14:paraId="5A6834A6">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⑤公司形象展示图：从系统中选择图片，最多3张。</w:t>
      </w:r>
    </w:p>
    <w:p w14:paraId="22A3E1E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（2）公司认证（A&amp;V）</w:t>
      </w:r>
    </w:p>
    <w:p w14:paraId="3278B0EA">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完成公司认证，获得认证标志。</w:t>
      </w:r>
    </w:p>
    <w:p w14:paraId="2DF9837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（3）管理能力评估</w:t>
      </w:r>
    </w:p>
    <w:p w14:paraId="1CA8E54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加入金品诚企，管理查看管理能力评估报告（企业能力评估报告、主营产品认证报告）。</w:t>
      </w:r>
    </w:p>
    <w:p w14:paraId="3F01E759">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（4）店铺装修</w:t>
      </w:r>
    </w:p>
    <w:p w14:paraId="0207A689">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从系统中选择店铺主题及设置Banner，注意店铺整体风格。</w:t>
      </w:r>
    </w:p>
    <w:p w14:paraId="13FAA044">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2.2 管理产品</w:t>
      </w:r>
    </w:p>
    <w:p w14:paraId="06CD0900">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（1）发布产品</w:t>
      </w:r>
    </w:p>
    <w:p w14:paraId="516D1354">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选择产品类别，填写产品详情，发布产品供进口客户搜索、查看。具体填写内容为：</w:t>
      </w:r>
    </w:p>
    <w:p w14:paraId="5DA347FE">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①产品名称：填写英文，不超过128个字符。产品名称应包含商品的英文名全称、产品特征（属性）等，避免罗列和堆砌。</w:t>
      </w:r>
    </w:p>
    <w:p w14:paraId="1C7CDD3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②产品关键词：填写英文，至少填写1个关键词，最多可填写3个。</w:t>
      </w:r>
    </w:p>
    <w:p w14:paraId="05836D05">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③产品图片：从图片银行中选择1-6张对应商品的图片。</w:t>
      </w:r>
    </w:p>
    <w:p w14:paraId="6A33FA3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④产品属性：包括原产地、3个产品属性、毛净重、体积，根据系统中的商品资料填写。</w:t>
      </w:r>
    </w:p>
    <w:p w14:paraId="68B7819B">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⑤交易信息：包括FOB价、最小起订量、结算方式，根据自己的实际需求填写。</w:t>
      </w:r>
    </w:p>
    <w:p w14:paraId="5DE07A9A">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⑥物流信息：包括发货时间、港口、供货能力，根据自己的实际需求填写。</w:t>
      </w:r>
    </w:p>
    <w:p w14:paraId="3037F280">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⑦产品详情：使用英文进行详细描述。可包含产品标题、产品描述（具体为产品规格型号、属性等）、产品展示图、包装和运输、公司信息等内容。</w:t>
      </w:r>
    </w:p>
    <w:p w14:paraId="32C3AF66">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（2）管理产品</w:t>
      </w:r>
    </w:p>
    <w:p w14:paraId="3A0F044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管理已发布的产品，可对产品进行编辑、下架等操作。</w:t>
      </w:r>
    </w:p>
    <w:p w14:paraId="6B94B3C2">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（3）管理认证产品</w:t>
      </w:r>
    </w:p>
    <w:p w14:paraId="3A8288A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加入金品诚企后，即可设置主营认证产品，最多10个。</w:t>
      </w:r>
    </w:p>
    <w:p w14:paraId="2D64665A">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（4）管理橱窗产品</w:t>
      </w:r>
    </w:p>
    <w:p w14:paraId="0401039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加入金品诚企后，即可设置橱窗产品，最多40个。</w:t>
      </w:r>
    </w:p>
    <w:p w14:paraId="7730781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（5）产品分组与排序</w:t>
      </w:r>
    </w:p>
    <w:p w14:paraId="5D9C032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创建店铺内产品分组，并设置组内商品排序，使店铺内的商品排序更合理。</w:t>
      </w:r>
    </w:p>
    <w:p w14:paraId="30F7DF6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2.3 采购直达</w:t>
      </w:r>
    </w:p>
    <w:p w14:paraId="0311F852">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发布和管理采购需求。发布的采购需求要求将产品关键词、订单需求数量和单位、采购需求详细信息、期望单价、目的港、支付方式等要素填写完整。</w:t>
      </w:r>
    </w:p>
    <w:p w14:paraId="37B5195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2.4 公司广告推广</w:t>
      </w:r>
    </w:p>
    <w:p w14:paraId="6D88D74E">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标题和内容均要求为英文，内容尽量完整清晰。</w:t>
      </w:r>
    </w:p>
    <w:p w14:paraId="1CF97F5E">
      <w:pPr>
        <w:spacing w:line="6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3.寻找客户</w:t>
      </w:r>
    </w:p>
    <w:p w14:paraId="6CAC54A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3.1 寻找目标客户</w:t>
      </w:r>
    </w:p>
    <w:p w14:paraId="207D4DE0">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途径一：通过在外贸B2B平台中主动搜索与查看产品、店铺、采购需求等信息，筛选出目标客户，并与其建立业务关系，获得进出口业务机会。</w:t>
      </w:r>
    </w:p>
    <w:p w14:paraId="35CFFD49">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途径二：通过发布公司广告、发布产品，推销自己的公司和产品，吸引进口商联系和询盘，获得出口业务机会。</w:t>
      </w:r>
    </w:p>
    <w:p w14:paraId="1B547FD9">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途径三：通过发布采购需求，吸引出口商前来联系和报价，获得进口业务机会。</w:t>
      </w:r>
    </w:p>
    <w:p w14:paraId="6A788DC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3.2 与客户建立业务关系</w:t>
      </w:r>
    </w:p>
    <w:p w14:paraId="2FC8061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开始一笔新业务，输入对方账号，选择业务类型（出口业务或进口业务），给对方发送建立业务关系的函电，待对方回复后即可进入业务磋商环节。</w:t>
      </w:r>
    </w:p>
    <w:p w14:paraId="338904F9">
      <w:pPr>
        <w:spacing w:line="6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4.业务磋商</w:t>
      </w:r>
    </w:p>
    <w:p w14:paraId="086E288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4.1 流程</w:t>
      </w:r>
    </w:p>
    <w:p w14:paraId="615A307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（1）进口商发送询盘邮件。</w:t>
      </w:r>
    </w:p>
    <w:p w14:paraId="125DFCFE">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（2）出口商计算出口报价。</w:t>
      </w:r>
    </w:p>
    <w:p w14:paraId="4440E910">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（3）出口商发送报价邮件。</w:t>
      </w:r>
    </w:p>
    <w:p w14:paraId="566AF37A">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（4）进口商收取出口商报价邮件，填写进口成本预算表，核算出成本与利润，确定还盘还是接受。</w:t>
      </w:r>
    </w:p>
    <w:p w14:paraId="366272C2">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（5）进口商发送还盘或接受邮件。</w:t>
      </w:r>
    </w:p>
    <w:p w14:paraId="240848D0">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4.2 要求</w:t>
      </w:r>
    </w:p>
    <w:p w14:paraId="6B60C5B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（1）一笔业务的磋商过程，询盘、发盘、接受这3个环节必不可少，还盘可以没有。</w:t>
      </w:r>
    </w:p>
    <w:p w14:paraId="3D388190">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（2）“发盘”函电标题中需选择合同交易的产品名称，正文中需正确选择/填写以下要素： 产品、销售数量及单位、单价（币别、金额、销售单位、贸易术语、港口信息）、总金额及币别、结算方式、运输方式、装运港、目的港、保险条款，具体内容须与最终签订合同中的条款吻合（具体参考下表）。</w:t>
      </w:r>
    </w:p>
    <w:tbl>
      <w:tblPr>
        <w:tblStyle w:val="16"/>
        <w:tblW w:w="8613" w:type="dxa"/>
        <w:jc w:val="center"/>
        <w:tblLayout w:type="fixed"/>
        <w:tblCellMar>
          <w:top w:w="0" w:type="dxa"/>
          <w:left w:w="108" w:type="dxa"/>
          <w:bottom w:w="0" w:type="dxa"/>
          <w:right w:w="108" w:type="dxa"/>
        </w:tblCellMar>
      </w:tblPr>
      <w:tblGrid>
        <w:gridCol w:w="1526"/>
        <w:gridCol w:w="2977"/>
        <w:gridCol w:w="4110"/>
      </w:tblGrid>
      <w:tr w14:paraId="72F9F04A">
        <w:tblPrEx>
          <w:tblCellMar>
            <w:top w:w="0" w:type="dxa"/>
            <w:left w:w="108" w:type="dxa"/>
            <w:bottom w:w="0" w:type="dxa"/>
            <w:right w:w="108" w:type="dxa"/>
          </w:tblCellMar>
        </w:tblPrEx>
        <w:trPr>
          <w:trHeight w:val="515" w:hRule="atLeast"/>
          <w:tblHeader/>
          <w:jc w:val="center"/>
        </w:trPr>
        <w:tc>
          <w:tcPr>
            <w:tcW w:w="1526" w:type="dxa"/>
            <w:tcBorders>
              <w:top w:val="single" w:color="auto" w:sz="4" w:space="0"/>
              <w:left w:val="single" w:color="auto" w:sz="4" w:space="0"/>
              <w:bottom w:val="single" w:color="auto" w:sz="4" w:space="0"/>
              <w:right w:val="single" w:color="auto" w:sz="4" w:space="0"/>
            </w:tcBorders>
            <w:vAlign w:val="center"/>
          </w:tcPr>
          <w:p w14:paraId="25629A84">
            <w:pPr>
              <w:widowControl/>
              <w:jc w:val="center"/>
              <w:rPr>
                <w:rFonts w:ascii="宋体" w:hAnsi="宋体" w:cs="宋体"/>
                <w:b/>
                <w:kern w:val="0"/>
              </w:rPr>
            </w:pPr>
            <w:r>
              <w:rPr>
                <w:rFonts w:hint="eastAsia" w:ascii="宋体" w:hAnsi="宋体" w:cs="宋体"/>
                <w:b/>
                <w:kern w:val="0"/>
              </w:rPr>
              <w:t>发盘要素</w:t>
            </w:r>
          </w:p>
        </w:tc>
        <w:tc>
          <w:tcPr>
            <w:tcW w:w="2977" w:type="dxa"/>
            <w:tcBorders>
              <w:top w:val="single" w:color="auto" w:sz="4" w:space="0"/>
              <w:left w:val="nil"/>
              <w:bottom w:val="single" w:color="auto" w:sz="4" w:space="0"/>
              <w:right w:val="single" w:color="auto" w:sz="4" w:space="0"/>
            </w:tcBorders>
            <w:vAlign w:val="center"/>
          </w:tcPr>
          <w:p w14:paraId="34AC161F">
            <w:pPr>
              <w:widowControl/>
              <w:jc w:val="center"/>
              <w:rPr>
                <w:rFonts w:ascii="宋体" w:hAnsi="宋体" w:cs="宋体"/>
                <w:b/>
                <w:kern w:val="0"/>
              </w:rPr>
            </w:pPr>
            <w:r>
              <w:rPr>
                <w:rFonts w:hint="eastAsia" w:ascii="宋体" w:hAnsi="宋体" w:cs="宋体"/>
                <w:b/>
                <w:kern w:val="0"/>
              </w:rPr>
              <w:t>标题</w:t>
            </w:r>
          </w:p>
        </w:tc>
        <w:tc>
          <w:tcPr>
            <w:tcW w:w="4110" w:type="dxa"/>
            <w:tcBorders>
              <w:top w:val="single" w:color="auto" w:sz="4" w:space="0"/>
              <w:left w:val="nil"/>
              <w:bottom w:val="single" w:color="auto" w:sz="4" w:space="0"/>
              <w:right w:val="single" w:color="auto" w:sz="4" w:space="0"/>
            </w:tcBorders>
            <w:vAlign w:val="center"/>
          </w:tcPr>
          <w:p w14:paraId="04CB3051">
            <w:pPr>
              <w:widowControl/>
              <w:jc w:val="center"/>
              <w:rPr>
                <w:rFonts w:ascii="宋体" w:hAnsi="宋体" w:cs="宋体"/>
                <w:b/>
                <w:kern w:val="0"/>
              </w:rPr>
            </w:pPr>
            <w:r>
              <w:rPr>
                <w:rFonts w:hint="eastAsia" w:ascii="宋体" w:hAnsi="宋体" w:cs="宋体"/>
                <w:b/>
                <w:kern w:val="0"/>
              </w:rPr>
              <w:t>内容</w:t>
            </w:r>
          </w:p>
        </w:tc>
      </w:tr>
      <w:tr w14:paraId="3258970E">
        <w:tblPrEx>
          <w:tblCellMar>
            <w:top w:w="0" w:type="dxa"/>
            <w:left w:w="108" w:type="dxa"/>
            <w:bottom w:w="0" w:type="dxa"/>
            <w:right w:w="108" w:type="dxa"/>
          </w:tblCellMar>
        </w:tblPrEx>
        <w:trPr>
          <w:trHeight w:val="270" w:hRule="atLeast"/>
          <w:tblHeader/>
          <w:jc w:val="center"/>
        </w:trPr>
        <w:tc>
          <w:tcPr>
            <w:tcW w:w="1526" w:type="dxa"/>
            <w:tcBorders>
              <w:top w:val="nil"/>
              <w:left w:val="single" w:color="auto" w:sz="4" w:space="0"/>
              <w:bottom w:val="single" w:color="auto" w:sz="4" w:space="0"/>
              <w:right w:val="single" w:color="auto" w:sz="4" w:space="0"/>
            </w:tcBorders>
            <w:vAlign w:val="center"/>
          </w:tcPr>
          <w:p w14:paraId="448514BB">
            <w:pPr>
              <w:widowControl/>
              <w:rPr>
                <w:rFonts w:ascii="宋体" w:hAnsi="宋体" w:cs="宋体"/>
                <w:kern w:val="0"/>
              </w:rPr>
            </w:pPr>
            <w:r>
              <w:rPr>
                <w:rFonts w:hint="eastAsia" w:ascii="宋体" w:hAnsi="宋体" w:cs="宋体"/>
                <w:kern w:val="0"/>
              </w:rPr>
              <w:t>产品</w:t>
            </w:r>
          </w:p>
        </w:tc>
        <w:tc>
          <w:tcPr>
            <w:tcW w:w="2977" w:type="dxa"/>
            <w:tcBorders>
              <w:top w:val="nil"/>
              <w:left w:val="nil"/>
              <w:bottom w:val="single" w:color="auto" w:sz="4" w:space="0"/>
              <w:right w:val="single" w:color="auto" w:sz="4" w:space="0"/>
            </w:tcBorders>
            <w:vAlign w:val="center"/>
          </w:tcPr>
          <w:p w14:paraId="63438BF4">
            <w:pPr>
              <w:widowControl/>
              <w:rPr>
                <w:rFonts w:ascii="宋体" w:hAnsi="宋体"/>
                <w:kern w:val="0"/>
              </w:rPr>
            </w:pPr>
            <w:r>
              <w:rPr>
                <w:rFonts w:ascii="宋体" w:hAnsi="宋体"/>
                <w:kern w:val="0"/>
              </w:rPr>
              <w:t>Product:</w:t>
            </w:r>
          </w:p>
        </w:tc>
        <w:tc>
          <w:tcPr>
            <w:tcW w:w="4110" w:type="dxa"/>
            <w:tcBorders>
              <w:top w:val="nil"/>
              <w:left w:val="nil"/>
              <w:bottom w:val="single" w:color="auto" w:sz="4" w:space="0"/>
              <w:right w:val="single" w:color="auto" w:sz="4" w:space="0"/>
            </w:tcBorders>
            <w:vAlign w:val="center"/>
          </w:tcPr>
          <w:p w14:paraId="4C6D71E4">
            <w:pPr>
              <w:widowControl/>
              <w:rPr>
                <w:rFonts w:ascii="宋体" w:hAnsi="宋体" w:cs="宋体"/>
                <w:kern w:val="0"/>
              </w:rPr>
            </w:pPr>
            <w:r>
              <w:rPr>
                <w:rFonts w:hint="eastAsia" w:ascii="宋体" w:hAnsi="宋体" w:cs="宋体"/>
                <w:kern w:val="0"/>
              </w:rPr>
              <w:t>与合同中商品完全一致</w:t>
            </w:r>
          </w:p>
        </w:tc>
      </w:tr>
      <w:tr w14:paraId="28E65B33">
        <w:tblPrEx>
          <w:tblCellMar>
            <w:top w:w="0" w:type="dxa"/>
            <w:left w:w="108" w:type="dxa"/>
            <w:bottom w:w="0" w:type="dxa"/>
            <w:right w:w="108" w:type="dxa"/>
          </w:tblCellMar>
        </w:tblPrEx>
        <w:trPr>
          <w:trHeight w:val="270" w:hRule="atLeast"/>
          <w:tblHeader/>
          <w:jc w:val="center"/>
        </w:trPr>
        <w:tc>
          <w:tcPr>
            <w:tcW w:w="1526" w:type="dxa"/>
            <w:tcBorders>
              <w:top w:val="nil"/>
              <w:left w:val="single" w:color="auto" w:sz="4" w:space="0"/>
              <w:bottom w:val="single" w:color="auto" w:sz="4" w:space="0"/>
              <w:right w:val="single" w:color="auto" w:sz="4" w:space="0"/>
            </w:tcBorders>
            <w:vAlign w:val="center"/>
          </w:tcPr>
          <w:p w14:paraId="52A16836">
            <w:pPr>
              <w:widowControl/>
              <w:rPr>
                <w:rFonts w:ascii="宋体" w:hAnsi="宋体" w:cs="宋体"/>
                <w:kern w:val="0"/>
              </w:rPr>
            </w:pPr>
            <w:r>
              <w:rPr>
                <w:rFonts w:hint="eastAsia" w:ascii="宋体" w:hAnsi="宋体" w:cs="宋体"/>
                <w:kern w:val="0"/>
              </w:rPr>
              <w:t>数量</w:t>
            </w:r>
          </w:p>
        </w:tc>
        <w:tc>
          <w:tcPr>
            <w:tcW w:w="2977" w:type="dxa"/>
            <w:tcBorders>
              <w:top w:val="nil"/>
              <w:left w:val="nil"/>
              <w:bottom w:val="single" w:color="auto" w:sz="4" w:space="0"/>
              <w:right w:val="single" w:color="auto" w:sz="4" w:space="0"/>
            </w:tcBorders>
            <w:vAlign w:val="center"/>
          </w:tcPr>
          <w:p w14:paraId="4E81FF5A">
            <w:pPr>
              <w:widowControl/>
              <w:rPr>
                <w:rFonts w:ascii="宋体" w:hAnsi="宋体"/>
                <w:kern w:val="0"/>
              </w:rPr>
            </w:pPr>
            <w:r>
              <w:rPr>
                <w:rFonts w:ascii="宋体" w:hAnsi="宋体"/>
                <w:kern w:val="0"/>
              </w:rPr>
              <w:t>Quantity:</w:t>
            </w:r>
          </w:p>
        </w:tc>
        <w:tc>
          <w:tcPr>
            <w:tcW w:w="4110" w:type="dxa"/>
            <w:tcBorders>
              <w:top w:val="nil"/>
              <w:left w:val="nil"/>
              <w:bottom w:val="single" w:color="auto" w:sz="4" w:space="0"/>
              <w:right w:val="single" w:color="auto" w:sz="4" w:space="0"/>
            </w:tcBorders>
            <w:vAlign w:val="center"/>
          </w:tcPr>
          <w:p w14:paraId="127B139A">
            <w:pPr>
              <w:widowControl/>
              <w:rPr>
                <w:rFonts w:ascii="宋体" w:hAnsi="宋体" w:cs="宋体"/>
                <w:kern w:val="0"/>
              </w:rPr>
            </w:pPr>
            <w:r>
              <w:rPr>
                <w:rFonts w:hint="eastAsia" w:ascii="宋体" w:hAnsi="宋体" w:cs="宋体"/>
                <w:kern w:val="0"/>
              </w:rPr>
              <w:t>与合同中商品数量完全一致</w:t>
            </w:r>
          </w:p>
          <w:p w14:paraId="5B8A76C0">
            <w:pPr>
              <w:widowControl/>
              <w:rPr>
                <w:rFonts w:ascii="宋体" w:hAnsi="宋体" w:cs="宋体"/>
                <w:kern w:val="0"/>
              </w:rPr>
            </w:pPr>
            <w:r>
              <w:rPr>
                <w:rFonts w:hint="eastAsia" w:ascii="宋体" w:hAnsi="宋体" w:cs="宋体"/>
                <w:kern w:val="0"/>
              </w:rPr>
              <w:t>格式：数字+单位</w:t>
            </w:r>
          </w:p>
        </w:tc>
      </w:tr>
      <w:tr w14:paraId="1518C081">
        <w:tblPrEx>
          <w:tblCellMar>
            <w:top w:w="0" w:type="dxa"/>
            <w:left w:w="108" w:type="dxa"/>
            <w:bottom w:w="0" w:type="dxa"/>
            <w:right w:w="108" w:type="dxa"/>
          </w:tblCellMar>
        </w:tblPrEx>
        <w:trPr>
          <w:trHeight w:val="270" w:hRule="atLeast"/>
          <w:tblHeader/>
          <w:jc w:val="center"/>
        </w:trPr>
        <w:tc>
          <w:tcPr>
            <w:tcW w:w="1526" w:type="dxa"/>
            <w:tcBorders>
              <w:top w:val="nil"/>
              <w:left w:val="single" w:color="auto" w:sz="4" w:space="0"/>
              <w:bottom w:val="single" w:color="auto" w:sz="4" w:space="0"/>
              <w:right w:val="single" w:color="auto" w:sz="4" w:space="0"/>
            </w:tcBorders>
            <w:vAlign w:val="center"/>
          </w:tcPr>
          <w:p w14:paraId="33D3E41A">
            <w:pPr>
              <w:widowControl/>
              <w:rPr>
                <w:rFonts w:ascii="宋体" w:hAnsi="宋体" w:cs="宋体"/>
                <w:kern w:val="0"/>
              </w:rPr>
            </w:pPr>
            <w:r>
              <w:rPr>
                <w:rFonts w:hint="eastAsia" w:ascii="宋体" w:hAnsi="宋体" w:cs="宋体"/>
                <w:kern w:val="0"/>
              </w:rPr>
              <w:t>单价</w:t>
            </w:r>
          </w:p>
        </w:tc>
        <w:tc>
          <w:tcPr>
            <w:tcW w:w="2977" w:type="dxa"/>
            <w:tcBorders>
              <w:top w:val="nil"/>
              <w:left w:val="nil"/>
              <w:bottom w:val="single" w:color="auto" w:sz="4" w:space="0"/>
              <w:right w:val="single" w:color="auto" w:sz="4" w:space="0"/>
            </w:tcBorders>
            <w:vAlign w:val="center"/>
          </w:tcPr>
          <w:p w14:paraId="1F1867D2">
            <w:pPr>
              <w:widowControl/>
              <w:rPr>
                <w:rFonts w:ascii="宋体" w:hAnsi="宋体"/>
                <w:kern w:val="0"/>
              </w:rPr>
            </w:pPr>
            <w:r>
              <w:rPr>
                <w:rFonts w:ascii="宋体" w:hAnsi="宋体"/>
                <w:kern w:val="0"/>
              </w:rPr>
              <w:t>Unit Price:</w:t>
            </w:r>
          </w:p>
        </w:tc>
        <w:tc>
          <w:tcPr>
            <w:tcW w:w="4110" w:type="dxa"/>
            <w:tcBorders>
              <w:top w:val="nil"/>
              <w:left w:val="nil"/>
              <w:bottom w:val="single" w:color="auto" w:sz="4" w:space="0"/>
              <w:right w:val="single" w:color="auto" w:sz="4" w:space="0"/>
            </w:tcBorders>
            <w:vAlign w:val="center"/>
          </w:tcPr>
          <w:p w14:paraId="0F77C47F">
            <w:pPr>
              <w:widowControl/>
              <w:rPr>
                <w:rFonts w:ascii="宋体" w:hAnsi="宋体" w:cs="宋体"/>
                <w:kern w:val="0"/>
              </w:rPr>
            </w:pPr>
            <w:r>
              <w:rPr>
                <w:rFonts w:hint="eastAsia" w:ascii="宋体" w:hAnsi="宋体" w:cs="宋体"/>
                <w:kern w:val="0"/>
              </w:rPr>
              <w:t>与合同中商品单价完全一致</w:t>
            </w:r>
          </w:p>
          <w:p w14:paraId="5FB8D0D9">
            <w:pPr>
              <w:widowControl/>
              <w:rPr>
                <w:rFonts w:ascii="宋体" w:hAnsi="宋体" w:cs="宋体"/>
                <w:kern w:val="0"/>
              </w:rPr>
            </w:pPr>
            <w:r>
              <w:rPr>
                <w:rFonts w:hint="eastAsia" w:ascii="宋体" w:hAnsi="宋体" w:cs="宋体"/>
                <w:kern w:val="0"/>
              </w:rPr>
              <w:t>例如：</w:t>
            </w:r>
            <w:r>
              <w:rPr>
                <w:rFonts w:hint="eastAsia" w:ascii="宋体" w:hAnsi="宋体"/>
                <w:kern w:val="0"/>
              </w:rPr>
              <w:t>USD 20.5 PER CARTON CIF NEWYORK,AMERICA</w:t>
            </w:r>
          </w:p>
        </w:tc>
      </w:tr>
      <w:tr w14:paraId="775EC284">
        <w:tblPrEx>
          <w:tblCellMar>
            <w:top w:w="0" w:type="dxa"/>
            <w:left w:w="108" w:type="dxa"/>
            <w:bottom w:w="0" w:type="dxa"/>
            <w:right w:w="108" w:type="dxa"/>
          </w:tblCellMar>
        </w:tblPrEx>
        <w:trPr>
          <w:trHeight w:val="270" w:hRule="atLeast"/>
          <w:tblHeader/>
          <w:jc w:val="center"/>
        </w:trPr>
        <w:tc>
          <w:tcPr>
            <w:tcW w:w="1526" w:type="dxa"/>
            <w:tcBorders>
              <w:top w:val="nil"/>
              <w:left w:val="single" w:color="auto" w:sz="4" w:space="0"/>
              <w:bottom w:val="single" w:color="auto" w:sz="4" w:space="0"/>
              <w:right w:val="single" w:color="auto" w:sz="4" w:space="0"/>
            </w:tcBorders>
            <w:vAlign w:val="center"/>
          </w:tcPr>
          <w:p w14:paraId="0B4B0A4B">
            <w:pPr>
              <w:widowControl/>
              <w:rPr>
                <w:rFonts w:ascii="宋体" w:hAnsi="宋体" w:cs="宋体"/>
                <w:kern w:val="0"/>
              </w:rPr>
            </w:pPr>
            <w:r>
              <w:rPr>
                <w:rFonts w:hint="eastAsia" w:ascii="宋体" w:hAnsi="宋体" w:cs="宋体"/>
                <w:kern w:val="0"/>
              </w:rPr>
              <w:t>总金额</w:t>
            </w:r>
          </w:p>
        </w:tc>
        <w:tc>
          <w:tcPr>
            <w:tcW w:w="2977" w:type="dxa"/>
            <w:tcBorders>
              <w:top w:val="nil"/>
              <w:left w:val="nil"/>
              <w:bottom w:val="single" w:color="auto" w:sz="4" w:space="0"/>
              <w:right w:val="single" w:color="auto" w:sz="4" w:space="0"/>
            </w:tcBorders>
            <w:vAlign w:val="center"/>
          </w:tcPr>
          <w:p w14:paraId="61D68C97">
            <w:pPr>
              <w:widowControl/>
              <w:rPr>
                <w:rFonts w:ascii="宋体" w:hAnsi="宋体"/>
                <w:kern w:val="0"/>
              </w:rPr>
            </w:pPr>
            <w:r>
              <w:rPr>
                <w:rFonts w:ascii="宋体" w:hAnsi="宋体"/>
                <w:kern w:val="0"/>
              </w:rPr>
              <w:t>Amount:</w:t>
            </w:r>
          </w:p>
        </w:tc>
        <w:tc>
          <w:tcPr>
            <w:tcW w:w="4110" w:type="dxa"/>
            <w:tcBorders>
              <w:top w:val="nil"/>
              <w:left w:val="nil"/>
              <w:bottom w:val="single" w:color="auto" w:sz="4" w:space="0"/>
              <w:right w:val="single" w:color="auto" w:sz="4" w:space="0"/>
            </w:tcBorders>
            <w:vAlign w:val="center"/>
          </w:tcPr>
          <w:p w14:paraId="5A114490">
            <w:pPr>
              <w:widowControl/>
              <w:rPr>
                <w:rFonts w:ascii="宋体" w:hAnsi="宋体" w:cs="宋体"/>
                <w:kern w:val="0"/>
              </w:rPr>
            </w:pPr>
            <w:r>
              <w:rPr>
                <w:rFonts w:hint="eastAsia" w:ascii="宋体" w:hAnsi="宋体" w:cs="宋体"/>
                <w:kern w:val="0"/>
              </w:rPr>
              <w:t>与合同总金额完全一致</w:t>
            </w:r>
          </w:p>
          <w:p w14:paraId="45A70852">
            <w:pPr>
              <w:widowControl/>
              <w:rPr>
                <w:rFonts w:ascii="宋体" w:hAnsi="宋体" w:cs="宋体"/>
                <w:kern w:val="0"/>
              </w:rPr>
            </w:pPr>
            <w:r>
              <w:rPr>
                <w:rFonts w:hint="eastAsia" w:ascii="宋体" w:hAnsi="宋体" w:cs="宋体"/>
                <w:kern w:val="0"/>
              </w:rPr>
              <w:t>格式：币别+数字</w:t>
            </w:r>
          </w:p>
        </w:tc>
      </w:tr>
      <w:tr w14:paraId="69898A16">
        <w:tblPrEx>
          <w:tblCellMar>
            <w:top w:w="0" w:type="dxa"/>
            <w:left w:w="108" w:type="dxa"/>
            <w:bottom w:w="0" w:type="dxa"/>
            <w:right w:w="108" w:type="dxa"/>
          </w:tblCellMar>
        </w:tblPrEx>
        <w:trPr>
          <w:trHeight w:val="270" w:hRule="atLeast"/>
          <w:tblHeader/>
          <w:jc w:val="center"/>
        </w:trPr>
        <w:tc>
          <w:tcPr>
            <w:tcW w:w="1526" w:type="dxa"/>
            <w:tcBorders>
              <w:top w:val="nil"/>
              <w:left w:val="single" w:color="auto" w:sz="4" w:space="0"/>
              <w:bottom w:val="single" w:color="auto" w:sz="4" w:space="0"/>
              <w:right w:val="single" w:color="auto" w:sz="4" w:space="0"/>
            </w:tcBorders>
            <w:vAlign w:val="center"/>
          </w:tcPr>
          <w:p w14:paraId="5FF58383">
            <w:pPr>
              <w:widowControl/>
              <w:rPr>
                <w:rFonts w:ascii="宋体" w:hAnsi="宋体" w:cs="宋体"/>
                <w:kern w:val="0"/>
              </w:rPr>
            </w:pPr>
            <w:r>
              <w:rPr>
                <w:rFonts w:hint="eastAsia" w:ascii="宋体" w:hAnsi="宋体" w:cs="宋体"/>
                <w:kern w:val="0"/>
              </w:rPr>
              <w:t>结算方式</w:t>
            </w:r>
          </w:p>
        </w:tc>
        <w:tc>
          <w:tcPr>
            <w:tcW w:w="2977" w:type="dxa"/>
            <w:tcBorders>
              <w:top w:val="nil"/>
              <w:left w:val="nil"/>
              <w:bottom w:val="single" w:color="auto" w:sz="4" w:space="0"/>
              <w:right w:val="single" w:color="auto" w:sz="4" w:space="0"/>
            </w:tcBorders>
            <w:vAlign w:val="center"/>
          </w:tcPr>
          <w:p w14:paraId="7E1BB0FA">
            <w:pPr>
              <w:widowControl/>
              <w:rPr>
                <w:rFonts w:ascii="宋体" w:hAnsi="宋体"/>
                <w:kern w:val="0"/>
              </w:rPr>
            </w:pPr>
            <w:r>
              <w:rPr>
                <w:rFonts w:ascii="宋体" w:hAnsi="宋体"/>
                <w:kern w:val="0"/>
              </w:rPr>
              <w:t>Payment:</w:t>
            </w:r>
          </w:p>
        </w:tc>
        <w:tc>
          <w:tcPr>
            <w:tcW w:w="4110" w:type="dxa"/>
            <w:tcBorders>
              <w:top w:val="nil"/>
              <w:left w:val="nil"/>
              <w:bottom w:val="single" w:color="auto" w:sz="4" w:space="0"/>
              <w:right w:val="single" w:color="auto" w:sz="4" w:space="0"/>
            </w:tcBorders>
            <w:vAlign w:val="center"/>
          </w:tcPr>
          <w:p w14:paraId="160483DA">
            <w:pPr>
              <w:widowControl/>
              <w:rPr>
                <w:rFonts w:ascii="宋体" w:hAnsi="宋体" w:cs="宋体"/>
                <w:kern w:val="0"/>
              </w:rPr>
            </w:pPr>
            <w:r>
              <w:rPr>
                <w:rFonts w:hint="eastAsia" w:ascii="宋体" w:hAnsi="宋体" w:cs="宋体"/>
                <w:kern w:val="0"/>
              </w:rPr>
              <w:t>与合同中结算方式完全一致</w:t>
            </w:r>
          </w:p>
          <w:p w14:paraId="602B9824">
            <w:pPr>
              <w:widowControl/>
              <w:rPr>
                <w:rFonts w:ascii="宋体" w:hAnsi="宋体" w:cs="宋体"/>
                <w:kern w:val="0"/>
              </w:rPr>
            </w:pPr>
            <w:r>
              <w:rPr>
                <w:rFonts w:hint="eastAsia" w:ascii="宋体" w:hAnsi="宋体" w:cs="宋体"/>
                <w:kern w:val="0"/>
              </w:rPr>
              <w:t>例如：</w:t>
            </w:r>
            <w:r>
              <w:rPr>
                <w:rFonts w:hint="eastAsia" w:ascii="宋体" w:hAnsi="宋体"/>
                <w:kern w:val="0"/>
              </w:rPr>
              <w:t>T/T 30% IN ADVANCE AND 70% WITHIN 30 DAYS AFTER SHIPMENT DATE</w:t>
            </w:r>
          </w:p>
        </w:tc>
      </w:tr>
      <w:tr w14:paraId="47DB3898">
        <w:tblPrEx>
          <w:tblCellMar>
            <w:top w:w="0" w:type="dxa"/>
            <w:left w:w="108" w:type="dxa"/>
            <w:bottom w:w="0" w:type="dxa"/>
            <w:right w:w="108" w:type="dxa"/>
          </w:tblCellMar>
        </w:tblPrEx>
        <w:trPr>
          <w:trHeight w:val="270" w:hRule="atLeast"/>
          <w:tblHeader/>
          <w:jc w:val="center"/>
        </w:trPr>
        <w:tc>
          <w:tcPr>
            <w:tcW w:w="1526" w:type="dxa"/>
            <w:tcBorders>
              <w:top w:val="nil"/>
              <w:left w:val="single" w:color="auto" w:sz="4" w:space="0"/>
              <w:bottom w:val="single" w:color="auto" w:sz="4" w:space="0"/>
              <w:right w:val="single" w:color="auto" w:sz="4" w:space="0"/>
            </w:tcBorders>
            <w:vAlign w:val="center"/>
          </w:tcPr>
          <w:p w14:paraId="0E820D11">
            <w:pPr>
              <w:widowControl/>
              <w:rPr>
                <w:rFonts w:ascii="宋体" w:hAnsi="宋体" w:cs="宋体"/>
                <w:kern w:val="0"/>
              </w:rPr>
            </w:pPr>
            <w:r>
              <w:rPr>
                <w:rFonts w:hint="eastAsia" w:ascii="宋体" w:hAnsi="宋体" w:cs="宋体"/>
                <w:kern w:val="0"/>
              </w:rPr>
              <w:t>运输方式</w:t>
            </w:r>
          </w:p>
        </w:tc>
        <w:tc>
          <w:tcPr>
            <w:tcW w:w="2977" w:type="dxa"/>
            <w:tcBorders>
              <w:top w:val="nil"/>
              <w:left w:val="nil"/>
              <w:bottom w:val="single" w:color="auto" w:sz="4" w:space="0"/>
              <w:right w:val="single" w:color="auto" w:sz="4" w:space="0"/>
            </w:tcBorders>
            <w:vAlign w:val="center"/>
          </w:tcPr>
          <w:p w14:paraId="4A91EE32">
            <w:pPr>
              <w:widowControl/>
              <w:rPr>
                <w:rFonts w:ascii="宋体" w:hAnsi="宋体"/>
                <w:kern w:val="0"/>
              </w:rPr>
            </w:pPr>
            <w:r>
              <w:rPr>
                <w:rFonts w:ascii="宋体" w:hAnsi="宋体"/>
                <w:kern w:val="0"/>
              </w:rPr>
              <w:t>Means of Transport:</w:t>
            </w:r>
          </w:p>
        </w:tc>
        <w:tc>
          <w:tcPr>
            <w:tcW w:w="4110" w:type="dxa"/>
            <w:tcBorders>
              <w:top w:val="nil"/>
              <w:left w:val="nil"/>
              <w:bottom w:val="single" w:color="auto" w:sz="4" w:space="0"/>
              <w:right w:val="single" w:color="auto" w:sz="4" w:space="0"/>
            </w:tcBorders>
            <w:vAlign w:val="center"/>
          </w:tcPr>
          <w:p w14:paraId="78668C65">
            <w:pPr>
              <w:widowControl/>
              <w:rPr>
                <w:rFonts w:ascii="宋体" w:hAnsi="宋体" w:cs="宋体"/>
                <w:kern w:val="0"/>
              </w:rPr>
            </w:pPr>
            <w:r>
              <w:rPr>
                <w:rFonts w:hint="eastAsia" w:ascii="宋体" w:hAnsi="宋体" w:cs="宋体"/>
                <w:kern w:val="0"/>
              </w:rPr>
              <w:t>与合同中运输方式完全一致，具体为</w:t>
            </w:r>
            <w:r>
              <w:rPr>
                <w:rFonts w:hint="eastAsia" w:ascii="宋体" w:hAnsi="宋体"/>
                <w:kern w:val="0"/>
              </w:rPr>
              <w:t>BY VESSEL</w:t>
            </w:r>
            <w:r>
              <w:rPr>
                <w:rFonts w:hint="eastAsia" w:ascii="宋体" w:hAnsi="宋体" w:cs="宋体"/>
                <w:kern w:val="0"/>
              </w:rPr>
              <w:t>或</w:t>
            </w:r>
            <w:r>
              <w:rPr>
                <w:rFonts w:hint="eastAsia" w:ascii="宋体" w:hAnsi="宋体"/>
                <w:kern w:val="0"/>
              </w:rPr>
              <w:t>BY AIR</w:t>
            </w:r>
          </w:p>
        </w:tc>
      </w:tr>
      <w:tr w14:paraId="3E8BFB02">
        <w:tblPrEx>
          <w:tblCellMar>
            <w:top w:w="0" w:type="dxa"/>
            <w:left w:w="108" w:type="dxa"/>
            <w:bottom w:w="0" w:type="dxa"/>
            <w:right w:w="108" w:type="dxa"/>
          </w:tblCellMar>
        </w:tblPrEx>
        <w:trPr>
          <w:trHeight w:val="270" w:hRule="atLeast"/>
          <w:tblHeader/>
          <w:jc w:val="center"/>
        </w:trPr>
        <w:tc>
          <w:tcPr>
            <w:tcW w:w="1526" w:type="dxa"/>
            <w:tcBorders>
              <w:top w:val="nil"/>
              <w:left w:val="single" w:color="auto" w:sz="4" w:space="0"/>
              <w:bottom w:val="single" w:color="auto" w:sz="4" w:space="0"/>
              <w:right w:val="single" w:color="auto" w:sz="4" w:space="0"/>
            </w:tcBorders>
            <w:vAlign w:val="center"/>
          </w:tcPr>
          <w:p w14:paraId="078BB81B">
            <w:pPr>
              <w:widowControl/>
              <w:rPr>
                <w:rFonts w:ascii="宋体" w:hAnsi="宋体" w:cs="宋体"/>
                <w:kern w:val="0"/>
              </w:rPr>
            </w:pPr>
            <w:r>
              <w:rPr>
                <w:rFonts w:hint="eastAsia" w:ascii="宋体" w:hAnsi="宋体" w:cs="宋体"/>
                <w:kern w:val="0"/>
              </w:rPr>
              <w:t>装运港</w:t>
            </w:r>
          </w:p>
        </w:tc>
        <w:tc>
          <w:tcPr>
            <w:tcW w:w="2977" w:type="dxa"/>
            <w:tcBorders>
              <w:top w:val="nil"/>
              <w:left w:val="nil"/>
              <w:bottom w:val="single" w:color="auto" w:sz="4" w:space="0"/>
              <w:right w:val="single" w:color="auto" w:sz="4" w:space="0"/>
            </w:tcBorders>
            <w:vAlign w:val="center"/>
          </w:tcPr>
          <w:p w14:paraId="0E89A871">
            <w:pPr>
              <w:widowControl/>
              <w:rPr>
                <w:rFonts w:ascii="宋体" w:hAnsi="宋体"/>
                <w:kern w:val="0"/>
              </w:rPr>
            </w:pPr>
            <w:r>
              <w:rPr>
                <w:rFonts w:ascii="宋体" w:hAnsi="宋体"/>
                <w:kern w:val="0"/>
              </w:rPr>
              <w:t>Port of Shipment:</w:t>
            </w:r>
          </w:p>
        </w:tc>
        <w:tc>
          <w:tcPr>
            <w:tcW w:w="4110" w:type="dxa"/>
            <w:tcBorders>
              <w:top w:val="nil"/>
              <w:left w:val="nil"/>
              <w:bottom w:val="single" w:color="auto" w:sz="4" w:space="0"/>
              <w:right w:val="single" w:color="auto" w:sz="4" w:space="0"/>
            </w:tcBorders>
            <w:vAlign w:val="center"/>
          </w:tcPr>
          <w:p w14:paraId="549945DE">
            <w:pPr>
              <w:widowControl/>
              <w:rPr>
                <w:rFonts w:ascii="宋体" w:hAnsi="宋体" w:cs="宋体"/>
                <w:kern w:val="0"/>
              </w:rPr>
            </w:pPr>
            <w:r>
              <w:rPr>
                <w:rFonts w:hint="eastAsia" w:ascii="宋体" w:hAnsi="宋体" w:cs="宋体"/>
                <w:kern w:val="0"/>
              </w:rPr>
              <w:t>与合同中装运港完全一致</w:t>
            </w:r>
          </w:p>
          <w:p w14:paraId="5FAE3BEE">
            <w:pPr>
              <w:widowControl/>
              <w:rPr>
                <w:rFonts w:ascii="宋体" w:hAnsi="宋体" w:cs="宋体"/>
                <w:kern w:val="0"/>
              </w:rPr>
            </w:pPr>
            <w:r>
              <w:rPr>
                <w:rFonts w:hint="eastAsia" w:ascii="宋体" w:hAnsi="宋体" w:cs="宋体"/>
                <w:kern w:val="0"/>
              </w:rPr>
              <w:t>格式：港口，国家</w:t>
            </w:r>
          </w:p>
          <w:p w14:paraId="25050D39">
            <w:pPr>
              <w:widowControl/>
              <w:rPr>
                <w:rFonts w:ascii="宋体" w:hAnsi="宋体" w:cs="宋体"/>
                <w:kern w:val="0"/>
              </w:rPr>
            </w:pPr>
            <w:r>
              <w:rPr>
                <w:rFonts w:hint="eastAsia" w:ascii="宋体" w:hAnsi="宋体" w:cs="宋体"/>
                <w:kern w:val="0"/>
              </w:rPr>
              <w:t>例如：</w:t>
            </w:r>
            <w:r>
              <w:rPr>
                <w:rFonts w:hint="eastAsia" w:ascii="宋体" w:hAnsi="宋体"/>
                <w:kern w:val="0"/>
              </w:rPr>
              <w:t>HAMBURG,GERMANY</w:t>
            </w:r>
          </w:p>
        </w:tc>
      </w:tr>
      <w:tr w14:paraId="3247570C">
        <w:tblPrEx>
          <w:tblCellMar>
            <w:top w:w="0" w:type="dxa"/>
            <w:left w:w="108" w:type="dxa"/>
            <w:bottom w:w="0" w:type="dxa"/>
            <w:right w:w="108" w:type="dxa"/>
          </w:tblCellMar>
        </w:tblPrEx>
        <w:trPr>
          <w:trHeight w:val="270" w:hRule="atLeast"/>
          <w:tblHeader/>
          <w:jc w:val="center"/>
        </w:trPr>
        <w:tc>
          <w:tcPr>
            <w:tcW w:w="1526" w:type="dxa"/>
            <w:tcBorders>
              <w:top w:val="nil"/>
              <w:left w:val="single" w:color="auto" w:sz="4" w:space="0"/>
              <w:bottom w:val="single" w:color="auto" w:sz="4" w:space="0"/>
              <w:right w:val="single" w:color="auto" w:sz="4" w:space="0"/>
            </w:tcBorders>
            <w:vAlign w:val="center"/>
          </w:tcPr>
          <w:p w14:paraId="50D11A67">
            <w:pPr>
              <w:widowControl/>
              <w:rPr>
                <w:rFonts w:ascii="宋体" w:hAnsi="宋体" w:cs="宋体"/>
                <w:kern w:val="0"/>
              </w:rPr>
            </w:pPr>
            <w:r>
              <w:rPr>
                <w:rFonts w:hint="eastAsia" w:ascii="宋体" w:hAnsi="宋体" w:cs="宋体"/>
                <w:kern w:val="0"/>
              </w:rPr>
              <w:t>目的港</w:t>
            </w:r>
          </w:p>
        </w:tc>
        <w:tc>
          <w:tcPr>
            <w:tcW w:w="2977" w:type="dxa"/>
            <w:tcBorders>
              <w:top w:val="nil"/>
              <w:left w:val="nil"/>
              <w:bottom w:val="single" w:color="auto" w:sz="4" w:space="0"/>
              <w:right w:val="single" w:color="auto" w:sz="4" w:space="0"/>
            </w:tcBorders>
            <w:vAlign w:val="center"/>
          </w:tcPr>
          <w:p w14:paraId="6E29450D">
            <w:pPr>
              <w:widowControl/>
              <w:rPr>
                <w:rFonts w:ascii="宋体" w:hAnsi="宋体"/>
                <w:kern w:val="0"/>
              </w:rPr>
            </w:pPr>
            <w:r>
              <w:rPr>
                <w:rFonts w:ascii="宋体" w:hAnsi="宋体"/>
                <w:kern w:val="0"/>
              </w:rPr>
              <w:t>Port of Destination:</w:t>
            </w:r>
          </w:p>
        </w:tc>
        <w:tc>
          <w:tcPr>
            <w:tcW w:w="4110" w:type="dxa"/>
            <w:tcBorders>
              <w:top w:val="nil"/>
              <w:left w:val="nil"/>
              <w:bottom w:val="single" w:color="auto" w:sz="4" w:space="0"/>
              <w:right w:val="single" w:color="auto" w:sz="4" w:space="0"/>
            </w:tcBorders>
            <w:vAlign w:val="center"/>
          </w:tcPr>
          <w:p w14:paraId="59E1E6D2">
            <w:pPr>
              <w:widowControl/>
              <w:rPr>
                <w:rFonts w:ascii="宋体" w:hAnsi="宋体" w:cs="宋体"/>
                <w:kern w:val="0"/>
              </w:rPr>
            </w:pPr>
            <w:r>
              <w:rPr>
                <w:rFonts w:hint="eastAsia" w:ascii="宋体" w:hAnsi="宋体" w:cs="宋体"/>
                <w:kern w:val="0"/>
              </w:rPr>
              <w:t>与合同中目的港完全一致</w:t>
            </w:r>
          </w:p>
        </w:tc>
      </w:tr>
      <w:tr w14:paraId="568387E8">
        <w:tblPrEx>
          <w:tblCellMar>
            <w:top w:w="0" w:type="dxa"/>
            <w:left w:w="108" w:type="dxa"/>
            <w:bottom w:w="0" w:type="dxa"/>
            <w:right w:w="108" w:type="dxa"/>
          </w:tblCellMar>
        </w:tblPrEx>
        <w:trPr>
          <w:trHeight w:val="270" w:hRule="atLeast"/>
          <w:tblHeader/>
          <w:jc w:val="center"/>
        </w:trPr>
        <w:tc>
          <w:tcPr>
            <w:tcW w:w="1526" w:type="dxa"/>
            <w:tcBorders>
              <w:top w:val="nil"/>
              <w:left w:val="single" w:color="auto" w:sz="4" w:space="0"/>
              <w:bottom w:val="single" w:color="auto" w:sz="4" w:space="0"/>
              <w:right w:val="single" w:color="auto" w:sz="4" w:space="0"/>
            </w:tcBorders>
            <w:vAlign w:val="center"/>
          </w:tcPr>
          <w:p w14:paraId="7B901EE9">
            <w:pPr>
              <w:widowControl/>
              <w:rPr>
                <w:rFonts w:ascii="宋体" w:hAnsi="宋体" w:cs="宋体"/>
                <w:kern w:val="0"/>
              </w:rPr>
            </w:pPr>
            <w:r>
              <w:rPr>
                <w:rFonts w:hint="eastAsia" w:ascii="宋体" w:hAnsi="宋体" w:cs="宋体"/>
                <w:kern w:val="0"/>
              </w:rPr>
              <w:t>保险条款</w:t>
            </w:r>
          </w:p>
        </w:tc>
        <w:tc>
          <w:tcPr>
            <w:tcW w:w="2977" w:type="dxa"/>
            <w:tcBorders>
              <w:top w:val="nil"/>
              <w:left w:val="nil"/>
              <w:bottom w:val="single" w:color="auto" w:sz="4" w:space="0"/>
              <w:right w:val="single" w:color="auto" w:sz="4" w:space="0"/>
            </w:tcBorders>
            <w:vAlign w:val="center"/>
          </w:tcPr>
          <w:p w14:paraId="43B352BD">
            <w:pPr>
              <w:widowControl/>
              <w:rPr>
                <w:rFonts w:ascii="宋体" w:hAnsi="宋体"/>
                <w:kern w:val="0"/>
              </w:rPr>
            </w:pPr>
            <w:r>
              <w:rPr>
                <w:rFonts w:ascii="宋体" w:hAnsi="宋体"/>
                <w:kern w:val="0"/>
              </w:rPr>
              <w:t>Insurance:</w:t>
            </w:r>
          </w:p>
        </w:tc>
        <w:tc>
          <w:tcPr>
            <w:tcW w:w="4110" w:type="dxa"/>
            <w:tcBorders>
              <w:top w:val="nil"/>
              <w:left w:val="nil"/>
              <w:bottom w:val="single" w:color="auto" w:sz="4" w:space="0"/>
              <w:right w:val="single" w:color="auto" w:sz="4" w:space="0"/>
            </w:tcBorders>
            <w:vAlign w:val="center"/>
          </w:tcPr>
          <w:p w14:paraId="0DB7FA82">
            <w:pPr>
              <w:widowControl/>
              <w:rPr>
                <w:rFonts w:ascii="宋体" w:hAnsi="宋体" w:cs="宋体"/>
                <w:kern w:val="0"/>
              </w:rPr>
            </w:pPr>
            <w:r>
              <w:rPr>
                <w:rFonts w:hint="eastAsia" w:ascii="宋体" w:hAnsi="宋体" w:cs="宋体"/>
                <w:kern w:val="0"/>
              </w:rPr>
              <w:t>与合同中保险条款完全一致</w:t>
            </w:r>
          </w:p>
          <w:p w14:paraId="3A308A0A">
            <w:pPr>
              <w:widowControl/>
              <w:rPr>
                <w:rFonts w:ascii="宋体" w:hAnsi="宋体" w:cs="宋体"/>
                <w:kern w:val="0"/>
              </w:rPr>
            </w:pPr>
            <w:r>
              <w:rPr>
                <w:rFonts w:hint="eastAsia" w:ascii="宋体" w:hAnsi="宋体" w:cs="宋体"/>
                <w:kern w:val="0"/>
              </w:rPr>
              <w:t>例如</w:t>
            </w:r>
            <w:r>
              <w:rPr>
                <w:rFonts w:hint="eastAsia" w:ascii="宋体" w:hAnsi="宋体"/>
                <w:kern w:val="0"/>
              </w:rPr>
              <w:t>FOB</w:t>
            </w:r>
            <w:r>
              <w:rPr>
                <w:rFonts w:hint="eastAsia" w:ascii="宋体" w:hAnsi="宋体" w:cs="宋体"/>
                <w:kern w:val="0"/>
              </w:rPr>
              <w:t>方式下，保险条款如下：</w:t>
            </w:r>
          </w:p>
          <w:p w14:paraId="383C60D7">
            <w:pPr>
              <w:widowControl/>
              <w:rPr>
                <w:rFonts w:ascii="宋体" w:hAnsi="宋体"/>
                <w:kern w:val="0"/>
              </w:rPr>
            </w:pPr>
            <w:r>
              <w:rPr>
                <w:rFonts w:hint="eastAsia" w:ascii="宋体" w:hAnsi="宋体"/>
                <w:kern w:val="0"/>
              </w:rPr>
              <w:t>TO BE COVERED BY THE BUYER.</w:t>
            </w:r>
          </w:p>
        </w:tc>
      </w:tr>
    </w:tbl>
    <w:p w14:paraId="7DCE891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参考范例：</w:t>
      </w:r>
    </w:p>
    <w:p w14:paraId="7354BF2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Product: 01005 CANNED SWEET CORN</w:t>
      </w:r>
    </w:p>
    <w:p w14:paraId="5038A400">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Quantity:10000 CARTON/CARTONS</w:t>
      </w:r>
    </w:p>
    <w:p w14:paraId="4C08AD3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Unit Price: USD 5.3 PER CARTON CIF NEWYORK, AMERICA</w:t>
      </w:r>
    </w:p>
    <w:p w14:paraId="524F2AE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Amount: USD53000</w:t>
      </w:r>
    </w:p>
    <w:p w14:paraId="7006995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Payment:  L/C AT 30 DAYS AFTER SIGHT</w:t>
      </w:r>
    </w:p>
    <w:p w14:paraId="7D164824">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Means of Transport: BY VESSEL</w:t>
      </w:r>
    </w:p>
    <w:p w14:paraId="54016CFB">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Port of Shipment: SHANGHAI, CHINA</w:t>
      </w:r>
    </w:p>
    <w:p w14:paraId="6F63F3B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Port of Destination: NEWYORK, AMERICA</w:t>
      </w:r>
    </w:p>
    <w:p w14:paraId="3076020E">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Insurance: FOR 110 PERCENT OF THE INVOICE VALUE COVERING INSTITUTE CARGO CLAUSES(A), INSTITUTE WAR CLAUSES, INSTITUTE STRIKES CLAUSES.</w:t>
      </w:r>
    </w:p>
    <w:p w14:paraId="371A738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（3）交易磋商的结果须与正式签订的合同一致。</w:t>
      </w:r>
    </w:p>
    <w:p w14:paraId="24151EF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（4）“接受”函电标题中需选择合同交易产品名称， 正文中需正确选择/填写以下要素：产品、销售数量及单位、单价（币别、金额、销售单位、贸易术语、港口信息）、结算方式。</w:t>
      </w:r>
    </w:p>
    <w:p w14:paraId="272DDD0C">
      <w:pPr>
        <w:spacing w:line="6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5.填写进出口成本预算表</w:t>
      </w:r>
    </w:p>
    <w:p w14:paraId="51CBFB8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进出口双方都必须严格依照双方最终商定的各项条款在系统中填写最终的成本预算表。合同签订完成后，进出口成本预算表会显示“实际发生额”，即为正确答案。</w:t>
      </w:r>
    </w:p>
    <w:p w14:paraId="1AE553AA">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5.1 出口商填写出口成本预算表</w:t>
      </w:r>
    </w:p>
    <w:p w14:paraId="7AADADB7">
      <w:pPr>
        <w:adjustRightInd w:val="0"/>
        <w:snapToGrid w:val="0"/>
        <w:spacing w:line="360" w:lineRule="auto"/>
        <w:ind w:left="210" w:leftChars="100" w:right="210" w:rightChars="100" w:firstLine="79" w:firstLineChars="38"/>
        <w:jc w:val="center"/>
        <w:rPr>
          <w:rFonts w:ascii="宋体" w:hAnsi="宋体"/>
          <w:bCs/>
        </w:rPr>
      </w:pPr>
      <w:r>
        <w:drawing>
          <wp:inline distT="0" distB="0" distL="114300" distR="114300">
            <wp:extent cx="4481830" cy="5605780"/>
            <wp:effectExtent l="0" t="0" r="13970" b="139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4481830" cy="5605780"/>
                    </a:xfrm>
                    <a:prstGeom prst="rect">
                      <a:avLst/>
                    </a:prstGeom>
                    <a:noFill/>
                    <a:ln>
                      <a:noFill/>
                    </a:ln>
                  </pic:spPr>
                </pic:pic>
              </a:graphicData>
            </a:graphic>
          </wp:inline>
        </w:drawing>
      </w:r>
    </w:p>
    <w:p w14:paraId="1FA8BA09">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5.2进口商填写进口成本预算表</w:t>
      </w:r>
    </w:p>
    <w:p w14:paraId="011523DB">
      <w:pPr>
        <w:adjustRightInd w:val="0"/>
        <w:snapToGrid w:val="0"/>
        <w:spacing w:line="360" w:lineRule="auto"/>
        <w:ind w:left="210" w:leftChars="100" w:right="210" w:rightChars="100" w:firstLine="55" w:firstLineChars="26"/>
        <w:jc w:val="center"/>
        <w:rPr>
          <w:rFonts w:ascii="仿宋_GB2312" w:hAnsi="Arial Narrow" w:eastAsia="仿宋_GB2312" w:cs="Arial"/>
          <w:sz w:val="30"/>
          <w:szCs w:val="30"/>
        </w:rPr>
      </w:pPr>
      <w:r>
        <w:rPr>
          <w:b/>
        </w:rPr>
        <w:drawing>
          <wp:inline distT="0" distB="0" distL="114300" distR="114300">
            <wp:extent cx="4486910" cy="5632450"/>
            <wp:effectExtent l="0" t="0" r="889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4486910" cy="5632450"/>
                    </a:xfrm>
                    <a:prstGeom prst="rect">
                      <a:avLst/>
                    </a:prstGeom>
                    <a:noFill/>
                    <a:ln>
                      <a:noFill/>
                    </a:ln>
                  </pic:spPr>
                </pic:pic>
              </a:graphicData>
            </a:graphic>
          </wp:inline>
        </w:drawing>
      </w:r>
    </w:p>
    <w:p w14:paraId="0FDD9407">
      <w:pPr>
        <w:spacing w:line="6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6.签订合同</w:t>
      </w:r>
    </w:p>
    <w:p w14:paraId="69FD00F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进出口双方的磋商结果由出口商起草合同，检查无误后签字盖章并发送给进口商确认。进口商须仔细检查合同各项条款，如有异议，应拒绝合同，并联系出口商要求其尽快修改；如无异议，即可确认合同，则该笔业务会进入到“历史业务”中，标志着该业务全部完成。</w:t>
      </w:r>
    </w:p>
    <w:p w14:paraId="24B82A93">
      <w:pPr>
        <w:adjustRightInd w:val="0"/>
        <w:snapToGrid w:val="0"/>
        <w:spacing w:line="360" w:lineRule="auto"/>
        <w:ind w:left="210" w:leftChars="100" w:right="210" w:rightChars="100" w:firstLine="79" w:firstLineChars="38"/>
        <w:jc w:val="center"/>
        <w:rPr>
          <w:rFonts w:ascii="宋体" w:hAnsi="宋体"/>
          <w:bCs/>
        </w:rPr>
      </w:pPr>
      <w:r>
        <w:drawing>
          <wp:inline distT="0" distB="0" distL="114300" distR="114300">
            <wp:extent cx="4168140" cy="6821805"/>
            <wp:effectExtent l="0" t="0" r="3810" b="1714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8"/>
                    <a:stretch>
                      <a:fillRect/>
                    </a:stretch>
                  </pic:blipFill>
                  <pic:spPr>
                    <a:xfrm>
                      <a:off x="0" y="0"/>
                      <a:ext cx="4168140" cy="6821805"/>
                    </a:xfrm>
                    <a:prstGeom prst="rect">
                      <a:avLst/>
                    </a:prstGeom>
                    <a:noFill/>
                    <a:ln>
                      <a:noFill/>
                    </a:ln>
                  </pic:spPr>
                </pic:pic>
              </a:graphicData>
            </a:graphic>
          </wp:inline>
        </w:drawing>
      </w:r>
    </w:p>
    <w:p w14:paraId="6E1A7DD8">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（二）外贸履约模块</w:t>
      </w:r>
    </w:p>
    <w:p w14:paraId="1E688E2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考核内容包括外贸单证缮制和外贸履约问题解决方案设计两部分。</w:t>
      </w:r>
    </w:p>
    <w:p w14:paraId="6D5BDE4D">
      <w:pPr>
        <w:spacing w:line="600" w:lineRule="exact"/>
        <w:ind w:firstLine="643" w:firstLineChars="200"/>
        <w:rPr>
          <w:rFonts w:ascii="仿宋_GB2312" w:hAnsi="仿宋_GB2312" w:eastAsia="仿宋_GB2312" w:cs="仿宋_GB2312"/>
          <w:b/>
          <w:bCs/>
          <w:sz w:val="32"/>
          <w:szCs w:val="32"/>
        </w:rPr>
      </w:pPr>
      <w:bookmarkStart w:id="2" w:name="_Hlk131686231"/>
      <w:r>
        <w:rPr>
          <w:rFonts w:hint="eastAsia" w:ascii="仿宋_GB2312" w:hAnsi="仿宋_GB2312" w:eastAsia="仿宋_GB2312" w:cs="仿宋_GB2312"/>
          <w:b/>
          <w:bCs/>
          <w:sz w:val="32"/>
          <w:szCs w:val="32"/>
        </w:rPr>
        <w:t>1.外贸单证缮制</w:t>
      </w:r>
    </w:p>
    <w:p w14:paraId="14F1276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【单证缮制背景】</w:t>
      </w:r>
    </w:p>
    <w:p w14:paraId="2CEF3DB2">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信用证资料</w:t>
      </w:r>
    </w:p>
    <w:tbl>
      <w:tblPr>
        <w:tblStyle w:val="1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57" w:type="dxa"/>
          <w:bottom w:w="0" w:type="dxa"/>
          <w:right w:w="57" w:type="dxa"/>
        </w:tblCellMar>
      </w:tblPr>
      <w:tblGrid>
        <w:gridCol w:w="2288"/>
        <w:gridCol w:w="604"/>
        <w:gridCol w:w="5200"/>
      </w:tblGrid>
      <w:tr w14:paraId="0290FF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74561045">
            <w:pPr>
              <w:adjustRightInd w:val="0"/>
              <w:snapToGrid w:val="0"/>
              <w:spacing w:line="340" w:lineRule="exact"/>
              <w:jc w:val="left"/>
              <w:rPr>
                <w:rFonts w:ascii="宋体" w:hAnsi="宋体"/>
                <w:bCs/>
              </w:rPr>
            </w:pPr>
            <w:r>
              <w:rPr>
                <w:rFonts w:ascii="宋体" w:hAnsi="宋体"/>
                <w:bCs/>
              </w:rPr>
              <w:t>SEQUENCE OF TOTAL</w:t>
            </w:r>
          </w:p>
        </w:tc>
        <w:tc>
          <w:tcPr>
            <w:tcW w:w="604" w:type="dxa"/>
          </w:tcPr>
          <w:p w14:paraId="77C3DA43">
            <w:pPr>
              <w:adjustRightInd w:val="0"/>
              <w:snapToGrid w:val="0"/>
              <w:spacing w:line="340" w:lineRule="exact"/>
              <w:jc w:val="right"/>
              <w:rPr>
                <w:rFonts w:ascii="宋体" w:hAnsi="宋体"/>
                <w:bCs/>
              </w:rPr>
            </w:pPr>
            <w:r>
              <w:rPr>
                <w:rFonts w:ascii="宋体" w:hAnsi="宋体"/>
                <w:bCs/>
              </w:rPr>
              <w:t xml:space="preserve">27 ： </w:t>
            </w:r>
          </w:p>
        </w:tc>
        <w:tc>
          <w:tcPr>
            <w:tcW w:w="5200" w:type="dxa"/>
          </w:tcPr>
          <w:p w14:paraId="12827540">
            <w:pPr>
              <w:adjustRightInd w:val="0"/>
              <w:snapToGrid w:val="0"/>
              <w:spacing w:line="340" w:lineRule="exact"/>
              <w:rPr>
                <w:rFonts w:ascii="宋体" w:hAnsi="宋体"/>
                <w:bCs/>
              </w:rPr>
            </w:pPr>
            <w:r>
              <w:rPr>
                <w:rFonts w:ascii="宋体" w:hAnsi="宋体"/>
                <w:bCs/>
              </w:rPr>
              <w:t>1 / 1</w:t>
            </w:r>
          </w:p>
        </w:tc>
      </w:tr>
      <w:tr w14:paraId="11DCA0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32C7C500">
            <w:pPr>
              <w:adjustRightInd w:val="0"/>
              <w:snapToGrid w:val="0"/>
              <w:spacing w:line="340" w:lineRule="exact"/>
              <w:jc w:val="left"/>
              <w:rPr>
                <w:rFonts w:ascii="宋体" w:hAnsi="宋体"/>
                <w:bCs/>
              </w:rPr>
            </w:pPr>
            <w:r>
              <w:rPr>
                <w:rFonts w:ascii="宋体" w:hAnsi="宋体"/>
                <w:bCs/>
              </w:rPr>
              <w:t>FORM OF DOC. CREDIT</w:t>
            </w:r>
          </w:p>
        </w:tc>
        <w:tc>
          <w:tcPr>
            <w:tcW w:w="604" w:type="dxa"/>
          </w:tcPr>
          <w:p w14:paraId="212F1A3C">
            <w:pPr>
              <w:tabs>
                <w:tab w:val="left" w:pos="284"/>
              </w:tabs>
              <w:adjustRightInd w:val="0"/>
              <w:snapToGrid w:val="0"/>
              <w:spacing w:line="340" w:lineRule="exact"/>
              <w:jc w:val="right"/>
              <w:rPr>
                <w:rFonts w:ascii="宋体" w:hAnsi="宋体"/>
                <w:bCs/>
              </w:rPr>
            </w:pPr>
            <w:r>
              <w:rPr>
                <w:rFonts w:ascii="宋体" w:hAnsi="宋体"/>
                <w:bCs/>
              </w:rPr>
              <w:t>40A：</w:t>
            </w:r>
          </w:p>
        </w:tc>
        <w:tc>
          <w:tcPr>
            <w:tcW w:w="5200" w:type="dxa"/>
          </w:tcPr>
          <w:p w14:paraId="6D536A77">
            <w:pPr>
              <w:adjustRightInd w:val="0"/>
              <w:snapToGrid w:val="0"/>
              <w:spacing w:line="340" w:lineRule="exact"/>
              <w:rPr>
                <w:rFonts w:ascii="宋体" w:hAnsi="宋体"/>
                <w:bCs/>
              </w:rPr>
            </w:pPr>
            <w:r>
              <w:rPr>
                <w:rFonts w:ascii="宋体" w:hAnsi="宋体"/>
                <w:bCs/>
              </w:rPr>
              <w:t>IRREVOCABLE</w:t>
            </w:r>
          </w:p>
        </w:tc>
      </w:tr>
      <w:tr w14:paraId="0330D3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184459DD">
            <w:pPr>
              <w:adjustRightInd w:val="0"/>
              <w:snapToGrid w:val="0"/>
              <w:spacing w:line="340" w:lineRule="exact"/>
              <w:jc w:val="left"/>
              <w:rPr>
                <w:rFonts w:ascii="宋体" w:hAnsi="宋体"/>
                <w:bCs/>
              </w:rPr>
            </w:pPr>
            <w:r>
              <w:rPr>
                <w:rFonts w:ascii="宋体" w:hAnsi="宋体"/>
                <w:bCs/>
              </w:rPr>
              <w:t>DOC. CREDIT NUMBER</w:t>
            </w:r>
          </w:p>
        </w:tc>
        <w:tc>
          <w:tcPr>
            <w:tcW w:w="604" w:type="dxa"/>
          </w:tcPr>
          <w:p w14:paraId="41FD5198">
            <w:pPr>
              <w:tabs>
                <w:tab w:val="left" w:pos="284"/>
              </w:tabs>
              <w:adjustRightInd w:val="0"/>
              <w:snapToGrid w:val="0"/>
              <w:spacing w:line="340" w:lineRule="exact"/>
              <w:jc w:val="right"/>
              <w:rPr>
                <w:rFonts w:ascii="宋体" w:hAnsi="宋体"/>
                <w:bCs/>
              </w:rPr>
            </w:pPr>
            <w:r>
              <w:rPr>
                <w:rFonts w:ascii="宋体" w:hAnsi="宋体"/>
                <w:bCs/>
              </w:rPr>
              <w:t>20 ：</w:t>
            </w:r>
          </w:p>
        </w:tc>
        <w:tc>
          <w:tcPr>
            <w:tcW w:w="5200" w:type="dxa"/>
          </w:tcPr>
          <w:p w14:paraId="61AE5C99">
            <w:pPr>
              <w:adjustRightInd w:val="0"/>
              <w:snapToGrid w:val="0"/>
              <w:spacing w:line="340" w:lineRule="exact"/>
              <w:rPr>
                <w:rFonts w:ascii="宋体" w:hAnsi="宋体"/>
                <w:bCs/>
              </w:rPr>
            </w:pPr>
            <w:r>
              <w:rPr>
                <w:rFonts w:ascii="宋体" w:hAnsi="宋体"/>
                <w:bCs/>
              </w:rPr>
              <w:t>BOCH202</w:t>
            </w:r>
            <w:r>
              <w:rPr>
                <w:rFonts w:hint="eastAsia" w:ascii="宋体" w:hAnsi="宋体"/>
                <w:bCs/>
              </w:rPr>
              <w:t>5</w:t>
            </w:r>
            <w:r>
              <w:rPr>
                <w:rFonts w:ascii="宋体" w:hAnsi="宋体"/>
                <w:bCs/>
              </w:rPr>
              <w:t>007655</w:t>
            </w:r>
          </w:p>
        </w:tc>
      </w:tr>
      <w:tr w14:paraId="1A7552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667FD21B">
            <w:pPr>
              <w:adjustRightInd w:val="0"/>
              <w:snapToGrid w:val="0"/>
              <w:spacing w:line="340" w:lineRule="exact"/>
              <w:jc w:val="left"/>
              <w:rPr>
                <w:rFonts w:ascii="宋体" w:hAnsi="宋体"/>
                <w:bCs/>
              </w:rPr>
            </w:pPr>
            <w:r>
              <w:rPr>
                <w:rFonts w:ascii="宋体" w:hAnsi="宋体"/>
                <w:bCs/>
              </w:rPr>
              <w:t>DATE OF ISSUE</w:t>
            </w:r>
          </w:p>
        </w:tc>
        <w:tc>
          <w:tcPr>
            <w:tcW w:w="604" w:type="dxa"/>
          </w:tcPr>
          <w:p w14:paraId="25351E10">
            <w:pPr>
              <w:tabs>
                <w:tab w:val="left" w:pos="284"/>
              </w:tabs>
              <w:adjustRightInd w:val="0"/>
              <w:snapToGrid w:val="0"/>
              <w:spacing w:line="340" w:lineRule="exact"/>
              <w:jc w:val="right"/>
              <w:rPr>
                <w:rFonts w:ascii="宋体" w:hAnsi="宋体"/>
                <w:bCs/>
              </w:rPr>
            </w:pPr>
            <w:r>
              <w:rPr>
                <w:rFonts w:ascii="宋体" w:hAnsi="宋体"/>
                <w:bCs/>
              </w:rPr>
              <w:t>31C：</w:t>
            </w:r>
          </w:p>
        </w:tc>
        <w:tc>
          <w:tcPr>
            <w:tcW w:w="5200" w:type="dxa"/>
          </w:tcPr>
          <w:p w14:paraId="7785872F">
            <w:pPr>
              <w:adjustRightInd w:val="0"/>
              <w:snapToGrid w:val="0"/>
              <w:spacing w:line="340" w:lineRule="exact"/>
              <w:rPr>
                <w:rFonts w:ascii="宋体" w:hAnsi="宋体"/>
                <w:bCs/>
              </w:rPr>
            </w:pPr>
            <w:r>
              <w:rPr>
                <w:rFonts w:ascii="宋体" w:hAnsi="宋体"/>
                <w:bCs/>
              </w:rPr>
              <w:t>2</w:t>
            </w:r>
            <w:r>
              <w:rPr>
                <w:rFonts w:hint="eastAsia" w:ascii="宋体" w:hAnsi="宋体"/>
                <w:bCs/>
                <w:lang w:val="en-US" w:eastAsia="zh-CN"/>
              </w:rPr>
              <w:t>6</w:t>
            </w:r>
            <w:r>
              <w:rPr>
                <w:rFonts w:ascii="宋体" w:hAnsi="宋体"/>
                <w:bCs/>
              </w:rPr>
              <w:t>0301</w:t>
            </w:r>
          </w:p>
        </w:tc>
      </w:tr>
      <w:tr w14:paraId="4C6F21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362D2275">
            <w:pPr>
              <w:adjustRightInd w:val="0"/>
              <w:snapToGrid w:val="0"/>
              <w:spacing w:line="340" w:lineRule="exact"/>
              <w:jc w:val="left"/>
              <w:rPr>
                <w:rFonts w:ascii="宋体" w:hAnsi="宋体"/>
                <w:bCs/>
              </w:rPr>
            </w:pPr>
            <w:r>
              <w:rPr>
                <w:rFonts w:ascii="宋体" w:hAnsi="宋体"/>
                <w:bCs/>
              </w:rPr>
              <w:t>APPLICABLE RULES</w:t>
            </w:r>
          </w:p>
        </w:tc>
        <w:tc>
          <w:tcPr>
            <w:tcW w:w="604" w:type="dxa"/>
          </w:tcPr>
          <w:p w14:paraId="05B3B2D9">
            <w:pPr>
              <w:tabs>
                <w:tab w:val="left" w:pos="284"/>
              </w:tabs>
              <w:adjustRightInd w:val="0"/>
              <w:snapToGrid w:val="0"/>
              <w:spacing w:line="340" w:lineRule="exact"/>
              <w:jc w:val="right"/>
              <w:rPr>
                <w:rFonts w:ascii="宋体" w:hAnsi="宋体"/>
                <w:bCs/>
              </w:rPr>
            </w:pPr>
            <w:r>
              <w:rPr>
                <w:rFonts w:ascii="宋体" w:hAnsi="宋体"/>
                <w:bCs/>
              </w:rPr>
              <w:t>40E：</w:t>
            </w:r>
          </w:p>
        </w:tc>
        <w:tc>
          <w:tcPr>
            <w:tcW w:w="5200" w:type="dxa"/>
          </w:tcPr>
          <w:p w14:paraId="5C632F59">
            <w:pPr>
              <w:spacing w:line="340" w:lineRule="exact"/>
              <w:rPr>
                <w:rFonts w:ascii="宋体" w:hAnsi="宋体"/>
                <w:bCs/>
              </w:rPr>
            </w:pPr>
            <w:r>
              <w:rPr>
                <w:rFonts w:ascii="宋体" w:hAnsi="宋体"/>
                <w:bCs/>
              </w:rPr>
              <w:t>UCP LATEST VERSION</w:t>
            </w:r>
          </w:p>
        </w:tc>
      </w:tr>
      <w:tr w14:paraId="7E21F6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14FB667E">
            <w:pPr>
              <w:adjustRightInd w:val="0"/>
              <w:snapToGrid w:val="0"/>
              <w:spacing w:line="340" w:lineRule="exact"/>
              <w:jc w:val="left"/>
              <w:rPr>
                <w:rFonts w:ascii="宋体" w:hAnsi="宋体"/>
                <w:bCs/>
              </w:rPr>
            </w:pPr>
            <w:r>
              <w:rPr>
                <w:rFonts w:ascii="宋体" w:hAnsi="宋体"/>
                <w:bCs/>
              </w:rPr>
              <w:t>DATE AND PLACE OF EXPIRY</w:t>
            </w:r>
          </w:p>
        </w:tc>
        <w:tc>
          <w:tcPr>
            <w:tcW w:w="604" w:type="dxa"/>
          </w:tcPr>
          <w:p w14:paraId="6AC04DFD">
            <w:pPr>
              <w:tabs>
                <w:tab w:val="left" w:pos="284"/>
              </w:tabs>
              <w:adjustRightInd w:val="0"/>
              <w:snapToGrid w:val="0"/>
              <w:spacing w:line="340" w:lineRule="exact"/>
              <w:jc w:val="right"/>
              <w:rPr>
                <w:rFonts w:ascii="宋体" w:hAnsi="宋体"/>
                <w:bCs/>
              </w:rPr>
            </w:pPr>
            <w:r>
              <w:rPr>
                <w:rFonts w:ascii="宋体" w:hAnsi="宋体"/>
                <w:bCs/>
              </w:rPr>
              <w:t>31D：</w:t>
            </w:r>
          </w:p>
        </w:tc>
        <w:tc>
          <w:tcPr>
            <w:tcW w:w="5200" w:type="dxa"/>
          </w:tcPr>
          <w:p w14:paraId="345D6C64">
            <w:pPr>
              <w:spacing w:line="340" w:lineRule="exact"/>
              <w:rPr>
                <w:rFonts w:ascii="宋体" w:hAnsi="宋体"/>
                <w:bCs/>
              </w:rPr>
            </w:pPr>
            <w:r>
              <w:rPr>
                <w:rFonts w:ascii="宋体" w:hAnsi="宋体"/>
                <w:bCs/>
              </w:rPr>
              <w:t>DATE 2</w:t>
            </w:r>
            <w:r>
              <w:rPr>
                <w:rFonts w:hint="eastAsia" w:ascii="宋体" w:hAnsi="宋体"/>
                <w:bCs/>
                <w:lang w:val="en-US" w:eastAsia="zh-CN"/>
              </w:rPr>
              <w:t>6</w:t>
            </w:r>
            <w:r>
              <w:rPr>
                <w:rFonts w:ascii="宋体" w:hAnsi="宋体"/>
                <w:bCs/>
              </w:rPr>
              <w:t>0507 PLACE IN GERMANY</w:t>
            </w:r>
          </w:p>
        </w:tc>
      </w:tr>
      <w:tr w14:paraId="37D693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125FE25C">
            <w:pPr>
              <w:adjustRightInd w:val="0"/>
              <w:snapToGrid w:val="0"/>
              <w:spacing w:line="340" w:lineRule="exact"/>
              <w:jc w:val="left"/>
              <w:rPr>
                <w:rFonts w:ascii="宋体" w:hAnsi="宋体"/>
                <w:bCs/>
              </w:rPr>
            </w:pPr>
            <w:r>
              <w:rPr>
                <w:rFonts w:ascii="宋体" w:hAnsi="宋体"/>
                <w:bCs/>
              </w:rPr>
              <w:t>APPLICANT</w:t>
            </w:r>
          </w:p>
        </w:tc>
        <w:tc>
          <w:tcPr>
            <w:tcW w:w="604" w:type="dxa"/>
          </w:tcPr>
          <w:p w14:paraId="1F7BD4CC">
            <w:pPr>
              <w:tabs>
                <w:tab w:val="left" w:pos="284"/>
              </w:tabs>
              <w:adjustRightInd w:val="0"/>
              <w:snapToGrid w:val="0"/>
              <w:spacing w:line="340" w:lineRule="exact"/>
              <w:jc w:val="right"/>
              <w:rPr>
                <w:rFonts w:ascii="宋体" w:hAnsi="宋体"/>
                <w:bCs/>
              </w:rPr>
            </w:pPr>
            <w:r>
              <w:rPr>
                <w:rFonts w:ascii="宋体" w:hAnsi="宋体"/>
                <w:bCs/>
              </w:rPr>
              <w:t>50 ：</w:t>
            </w:r>
          </w:p>
        </w:tc>
        <w:tc>
          <w:tcPr>
            <w:tcW w:w="5200" w:type="dxa"/>
          </w:tcPr>
          <w:p w14:paraId="5AC88A5D">
            <w:pPr>
              <w:adjustRightInd w:val="0"/>
              <w:snapToGrid w:val="0"/>
              <w:spacing w:line="340" w:lineRule="exact"/>
              <w:rPr>
                <w:rFonts w:ascii="宋体" w:hAnsi="宋体"/>
                <w:bCs/>
              </w:rPr>
            </w:pPr>
            <w:r>
              <w:rPr>
                <w:rFonts w:ascii="宋体" w:hAnsi="宋体"/>
                <w:bCs/>
              </w:rPr>
              <w:t>HUBOK GMBH &amp; CO. KG</w:t>
            </w:r>
          </w:p>
          <w:p w14:paraId="0F0C3470">
            <w:pPr>
              <w:adjustRightInd w:val="0"/>
              <w:snapToGrid w:val="0"/>
              <w:spacing w:line="340" w:lineRule="exact"/>
              <w:rPr>
                <w:rFonts w:ascii="宋体" w:hAnsi="宋体"/>
                <w:bCs/>
              </w:rPr>
            </w:pPr>
            <w:r>
              <w:rPr>
                <w:rFonts w:ascii="宋体" w:hAnsi="宋体"/>
                <w:bCs/>
              </w:rPr>
              <w:t>RATHAUSMARKT 33, 20095 HAMBURG, GERMANY</w:t>
            </w:r>
          </w:p>
        </w:tc>
      </w:tr>
      <w:tr w14:paraId="32844A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783B645D">
            <w:pPr>
              <w:adjustRightInd w:val="0"/>
              <w:snapToGrid w:val="0"/>
              <w:spacing w:line="340" w:lineRule="exact"/>
              <w:jc w:val="left"/>
              <w:rPr>
                <w:rFonts w:ascii="宋体" w:hAnsi="宋体"/>
                <w:bCs/>
              </w:rPr>
            </w:pPr>
            <w:r>
              <w:rPr>
                <w:rFonts w:ascii="宋体" w:hAnsi="宋体"/>
                <w:bCs/>
              </w:rPr>
              <w:t>BENEFICIARY</w:t>
            </w:r>
          </w:p>
        </w:tc>
        <w:tc>
          <w:tcPr>
            <w:tcW w:w="604" w:type="dxa"/>
          </w:tcPr>
          <w:p w14:paraId="29DCB4AB">
            <w:pPr>
              <w:tabs>
                <w:tab w:val="left" w:pos="284"/>
              </w:tabs>
              <w:adjustRightInd w:val="0"/>
              <w:snapToGrid w:val="0"/>
              <w:spacing w:line="340" w:lineRule="exact"/>
              <w:jc w:val="right"/>
              <w:rPr>
                <w:rFonts w:ascii="宋体" w:hAnsi="宋体"/>
                <w:bCs/>
              </w:rPr>
            </w:pPr>
            <w:r>
              <w:rPr>
                <w:rFonts w:ascii="宋体" w:hAnsi="宋体"/>
                <w:bCs/>
              </w:rPr>
              <w:t>59 ：</w:t>
            </w:r>
          </w:p>
        </w:tc>
        <w:tc>
          <w:tcPr>
            <w:tcW w:w="5200" w:type="dxa"/>
          </w:tcPr>
          <w:p w14:paraId="3EF64043">
            <w:pPr>
              <w:adjustRightInd w:val="0"/>
              <w:snapToGrid w:val="0"/>
              <w:spacing w:line="340" w:lineRule="exact"/>
              <w:rPr>
                <w:rFonts w:ascii="宋体" w:hAnsi="宋体"/>
                <w:bCs/>
              </w:rPr>
            </w:pPr>
            <w:r>
              <w:rPr>
                <w:rFonts w:ascii="宋体" w:hAnsi="宋体"/>
                <w:bCs/>
              </w:rPr>
              <w:t>DALIAN FEIFAN I/E CO., LTD.</w:t>
            </w:r>
          </w:p>
          <w:p w14:paraId="3F15CA98">
            <w:pPr>
              <w:adjustRightInd w:val="0"/>
              <w:snapToGrid w:val="0"/>
              <w:spacing w:line="340" w:lineRule="exact"/>
              <w:rPr>
                <w:rFonts w:ascii="宋体" w:hAnsi="宋体"/>
                <w:bCs/>
              </w:rPr>
            </w:pPr>
            <w:r>
              <w:rPr>
                <w:rFonts w:ascii="宋体" w:hAnsi="宋体"/>
                <w:bCs/>
              </w:rPr>
              <w:t>NO.231 XISHAN ROAD, DALIAN, CHINA</w:t>
            </w:r>
          </w:p>
        </w:tc>
      </w:tr>
      <w:tr w14:paraId="00D892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1F314A1A">
            <w:pPr>
              <w:adjustRightInd w:val="0"/>
              <w:snapToGrid w:val="0"/>
              <w:spacing w:line="340" w:lineRule="exact"/>
              <w:jc w:val="left"/>
              <w:rPr>
                <w:rFonts w:ascii="宋体" w:hAnsi="宋体"/>
                <w:bCs/>
              </w:rPr>
            </w:pPr>
            <w:r>
              <w:rPr>
                <w:rFonts w:ascii="宋体" w:hAnsi="宋体"/>
                <w:bCs/>
              </w:rPr>
              <w:t>AMOUNT</w:t>
            </w:r>
          </w:p>
        </w:tc>
        <w:tc>
          <w:tcPr>
            <w:tcW w:w="604" w:type="dxa"/>
          </w:tcPr>
          <w:p w14:paraId="46BD6196">
            <w:pPr>
              <w:tabs>
                <w:tab w:val="left" w:pos="284"/>
              </w:tabs>
              <w:adjustRightInd w:val="0"/>
              <w:snapToGrid w:val="0"/>
              <w:spacing w:line="340" w:lineRule="exact"/>
              <w:jc w:val="right"/>
              <w:rPr>
                <w:rFonts w:ascii="宋体" w:hAnsi="宋体"/>
                <w:bCs/>
              </w:rPr>
            </w:pPr>
            <w:r>
              <w:rPr>
                <w:rFonts w:ascii="宋体" w:hAnsi="宋体"/>
                <w:bCs/>
              </w:rPr>
              <w:t>32B：</w:t>
            </w:r>
          </w:p>
        </w:tc>
        <w:tc>
          <w:tcPr>
            <w:tcW w:w="5200" w:type="dxa"/>
          </w:tcPr>
          <w:p w14:paraId="4767640B">
            <w:pPr>
              <w:adjustRightInd w:val="0"/>
              <w:snapToGrid w:val="0"/>
              <w:spacing w:line="340" w:lineRule="exact"/>
              <w:rPr>
                <w:rFonts w:ascii="宋体" w:hAnsi="宋体"/>
                <w:bCs/>
              </w:rPr>
            </w:pPr>
            <w:r>
              <w:rPr>
                <w:rFonts w:ascii="宋体" w:hAnsi="宋体"/>
                <w:bCs/>
              </w:rPr>
              <w:t>CURRENCY EUR AMOUNT 81 000.00</w:t>
            </w:r>
          </w:p>
        </w:tc>
      </w:tr>
      <w:tr w14:paraId="4F37BA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5E82E175">
            <w:pPr>
              <w:adjustRightInd w:val="0"/>
              <w:snapToGrid w:val="0"/>
              <w:spacing w:line="340" w:lineRule="exact"/>
              <w:jc w:val="left"/>
              <w:rPr>
                <w:rFonts w:ascii="宋体" w:hAnsi="宋体"/>
                <w:bCs/>
              </w:rPr>
            </w:pPr>
            <w:r>
              <w:rPr>
                <w:rFonts w:ascii="宋体" w:hAnsi="宋体"/>
                <w:bCs/>
              </w:rPr>
              <w:t>AVAILABLE WITH/BY</w:t>
            </w:r>
          </w:p>
        </w:tc>
        <w:tc>
          <w:tcPr>
            <w:tcW w:w="604" w:type="dxa"/>
          </w:tcPr>
          <w:p w14:paraId="45D12D4A">
            <w:pPr>
              <w:tabs>
                <w:tab w:val="left" w:pos="284"/>
              </w:tabs>
              <w:adjustRightInd w:val="0"/>
              <w:snapToGrid w:val="0"/>
              <w:spacing w:line="340" w:lineRule="exact"/>
              <w:jc w:val="right"/>
              <w:rPr>
                <w:rFonts w:ascii="宋体" w:hAnsi="宋体"/>
                <w:bCs/>
              </w:rPr>
            </w:pPr>
            <w:r>
              <w:rPr>
                <w:rFonts w:ascii="宋体" w:hAnsi="宋体"/>
                <w:bCs/>
              </w:rPr>
              <w:t>41D：</w:t>
            </w:r>
          </w:p>
        </w:tc>
        <w:tc>
          <w:tcPr>
            <w:tcW w:w="5200" w:type="dxa"/>
          </w:tcPr>
          <w:p w14:paraId="44B9FC48">
            <w:pPr>
              <w:adjustRightInd w:val="0"/>
              <w:snapToGrid w:val="0"/>
              <w:spacing w:line="340" w:lineRule="exact"/>
              <w:rPr>
                <w:rFonts w:ascii="宋体" w:hAnsi="宋体"/>
                <w:bCs/>
              </w:rPr>
            </w:pPr>
            <w:r>
              <w:rPr>
                <w:rFonts w:ascii="宋体" w:hAnsi="宋体"/>
                <w:bCs/>
              </w:rPr>
              <w:t>ANY BANK IN CHINA,</w:t>
            </w:r>
          </w:p>
          <w:p w14:paraId="04643FC7">
            <w:pPr>
              <w:adjustRightInd w:val="0"/>
              <w:snapToGrid w:val="0"/>
              <w:spacing w:line="340" w:lineRule="exact"/>
              <w:rPr>
                <w:rFonts w:ascii="宋体" w:hAnsi="宋体"/>
                <w:bCs/>
              </w:rPr>
            </w:pPr>
            <w:r>
              <w:rPr>
                <w:rFonts w:ascii="宋体" w:hAnsi="宋体"/>
                <w:bCs/>
              </w:rPr>
              <w:t>BY NEGOTIATION</w:t>
            </w:r>
          </w:p>
        </w:tc>
      </w:tr>
      <w:tr w14:paraId="7B6512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1F5C3D6F">
            <w:pPr>
              <w:adjustRightInd w:val="0"/>
              <w:snapToGrid w:val="0"/>
              <w:spacing w:line="340" w:lineRule="exact"/>
              <w:jc w:val="left"/>
              <w:rPr>
                <w:rFonts w:ascii="宋体" w:hAnsi="宋体"/>
                <w:bCs/>
              </w:rPr>
            </w:pPr>
            <w:r>
              <w:rPr>
                <w:rFonts w:ascii="宋体" w:hAnsi="宋体"/>
                <w:bCs/>
              </w:rPr>
              <w:t>DRAFTS AT ...</w:t>
            </w:r>
          </w:p>
        </w:tc>
        <w:tc>
          <w:tcPr>
            <w:tcW w:w="604" w:type="dxa"/>
          </w:tcPr>
          <w:p w14:paraId="6828100B">
            <w:pPr>
              <w:tabs>
                <w:tab w:val="left" w:pos="284"/>
              </w:tabs>
              <w:adjustRightInd w:val="0"/>
              <w:snapToGrid w:val="0"/>
              <w:spacing w:line="340" w:lineRule="exact"/>
              <w:jc w:val="right"/>
              <w:rPr>
                <w:rFonts w:ascii="宋体" w:hAnsi="宋体"/>
                <w:bCs/>
              </w:rPr>
            </w:pPr>
            <w:r>
              <w:rPr>
                <w:rFonts w:ascii="宋体" w:hAnsi="宋体"/>
                <w:bCs/>
              </w:rPr>
              <w:t>42C：</w:t>
            </w:r>
          </w:p>
        </w:tc>
        <w:tc>
          <w:tcPr>
            <w:tcW w:w="5200" w:type="dxa"/>
          </w:tcPr>
          <w:p w14:paraId="625C8094">
            <w:pPr>
              <w:adjustRightInd w:val="0"/>
              <w:snapToGrid w:val="0"/>
              <w:spacing w:line="340" w:lineRule="exact"/>
              <w:rPr>
                <w:rFonts w:ascii="宋体" w:hAnsi="宋体"/>
                <w:bCs/>
              </w:rPr>
            </w:pPr>
            <w:r>
              <w:rPr>
                <w:rFonts w:ascii="宋体" w:hAnsi="宋体"/>
                <w:bCs/>
              </w:rPr>
              <w:t>30 DAYS AFTER SIGHT</w:t>
            </w:r>
          </w:p>
        </w:tc>
      </w:tr>
      <w:tr w14:paraId="0CB007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3EF23A11">
            <w:pPr>
              <w:adjustRightInd w:val="0"/>
              <w:snapToGrid w:val="0"/>
              <w:spacing w:line="340" w:lineRule="exact"/>
              <w:jc w:val="left"/>
              <w:rPr>
                <w:rFonts w:ascii="宋体" w:hAnsi="宋体"/>
                <w:bCs/>
              </w:rPr>
            </w:pPr>
            <w:r>
              <w:rPr>
                <w:rFonts w:ascii="宋体" w:hAnsi="宋体"/>
                <w:bCs/>
              </w:rPr>
              <w:t>DRAWEE</w:t>
            </w:r>
          </w:p>
        </w:tc>
        <w:tc>
          <w:tcPr>
            <w:tcW w:w="604" w:type="dxa"/>
          </w:tcPr>
          <w:p w14:paraId="46C91139">
            <w:pPr>
              <w:tabs>
                <w:tab w:val="left" w:pos="284"/>
              </w:tabs>
              <w:adjustRightInd w:val="0"/>
              <w:snapToGrid w:val="0"/>
              <w:spacing w:line="340" w:lineRule="exact"/>
              <w:jc w:val="right"/>
              <w:rPr>
                <w:rFonts w:ascii="宋体" w:hAnsi="宋体"/>
                <w:bCs/>
              </w:rPr>
            </w:pPr>
            <w:r>
              <w:rPr>
                <w:rFonts w:ascii="宋体" w:hAnsi="宋体"/>
                <w:bCs/>
              </w:rPr>
              <w:t>42D：</w:t>
            </w:r>
          </w:p>
        </w:tc>
        <w:tc>
          <w:tcPr>
            <w:tcW w:w="5200" w:type="dxa"/>
          </w:tcPr>
          <w:p w14:paraId="52B46059">
            <w:pPr>
              <w:adjustRightInd w:val="0"/>
              <w:snapToGrid w:val="0"/>
              <w:spacing w:line="340" w:lineRule="exact"/>
              <w:rPr>
                <w:rFonts w:ascii="宋体" w:hAnsi="宋体"/>
                <w:bCs/>
              </w:rPr>
            </w:pPr>
            <w:r>
              <w:rPr>
                <w:rFonts w:ascii="宋体" w:hAnsi="宋体"/>
                <w:bCs/>
              </w:rPr>
              <w:t>BANK OF CHINA，HAMBURG</w:t>
            </w:r>
          </w:p>
        </w:tc>
      </w:tr>
      <w:tr w14:paraId="243007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221D86BC">
            <w:pPr>
              <w:adjustRightInd w:val="0"/>
              <w:snapToGrid w:val="0"/>
              <w:spacing w:line="340" w:lineRule="exact"/>
              <w:jc w:val="left"/>
              <w:rPr>
                <w:rFonts w:ascii="宋体" w:hAnsi="宋体"/>
                <w:bCs/>
              </w:rPr>
            </w:pPr>
            <w:r>
              <w:rPr>
                <w:rFonts w:ascii="宋体" w:hAnsi="宋体"/>
                <w:bCs/>
              </w:rPr>
              <w:t>TRANSHIPMENT</w:t>
            </w:r>
          </w:p>
        </w:tc>
        <w:tc>
          <w:tcPr>
            <w:tcW w:w="604" w:type="dxa"/>
          </w:tcPr>
          <w:p w14:paraId="34A5C78A">
            <w:pPr>
              <w:tabs>
                <w:tab w:val="left" w:pos="284"/>
              </w:tabs>
              <w:adjustRightInd w:val="0"/>
              <w:snapToGrid w:val="0"/>
              <w:spacing w:line="340" w:lineRule="exact"/>
              <w:jc w:val="right"/>
              <w:rPr>
                <w:rFonts w:ascii="宋体" w:hAnsi="宋体"/>
                <w:bCs/>
              </w:rPr>
            </w:pPr>
            <w:r>
              <w:rPr>
                <w:rFonts w:ascii="宋体" w:hAnsi="宋体"/>
                <w:bCs/>
              </w:rPr>
              <w:t>43T：</w:t>
            </w:r>
          </w:p>
        </w:tc>
        <w:tc>
          <w:tcPr>
            <w:tcW w:w="5200" w:type="dxa"/>
          </w:tcPr>
          <w:p w14:paraId="28C66DA5">
            <w:pPr>
              <w:adjustRightInd w:val="0"/>
              <w:snapToGrid w:val="0"/>
              <w:spacing w:line="340" w:lineRule="exact"/>
              <w:rPr>
                <w:rFonts w:ascii="宋体" w:hAnsi="宋体"/>
                <w:bCs/>
              </w:rPr>
            </w:pPr>
            <w:r>
              <w:rPr>
                <w:rFonts w:hint="eastAsia" w:ascii="宋体" w:hAnsi="宋体"/>
                <w:bCs/>
              </w:rPr>
              <w:t>NOT ALLOWED</w:t>
            </w:r>
          </w:p>
        </w:tc>
      </w:tr>
      <w:tr w14:paraId="36116C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69D66D2C">
            <w:pPr>
              <w:adjustRightInd w:val="0"/>
              <w:snapToGrid w:val="0"/>
              <w:spacing w:line="340" w:lineRule="exact"/>
              <w:jc w:val="left"/>
              <w:rPr>
                <w:rFonts w:ascii="宋体" w:hAnsi="宋体"/>
                <w:bCs/>
              </w:rPr>
            </w:pPr>
            <w:r>
              <w:rPr>
                <w:rFonts w:ascii="宋体" w:hAnsi="宋体"/>
                <w:bCs/>
              </w:rPr>
              <w:t>PORT OF LOADING/ AIRPORT OF DEPARTURE</w:t>
            </w:r>
          </w:p>
        </w:tc>
        <w:tc>
          <w:tcPr>
            <w:tcW w:w="604" w:type="dxa"/>
          </w:tcPr>
          <w:p w14:paraId="5125F610">
            <w:pPr>
              <w:tabs>
                <w:tab w:val="left" w:pos="284"/>
              </w:tabs>
              <w:adjustRightInd w:val="0"/>
              <w:snapToGrid w:val="0"/>
              <w:spacing w:line="340" w:lineRule="exact"/>
              <w:jc w:val="right"/>
              <w:rPr>
                <w:rFonts w:ascii="宋体" w:hAnsi="宋体"/>
                <w:bCs/>
              </w:rPr>
            </w:pPr>
            <w:r>
              <w:rPr>
                <w:rFonts w:ascii="宋体" w:hAnsi="宋体"/>
                <w:bCs/>
              </w:rPr>
              <w:t>44E：</w:t>
            </w:r>
          </w:p>
        </w:tc>
        <w:tc>
          <w:tcPr>
            <w:tcW w:w="5200" w:type="dxa"/>
          </w:tcPr>
          <w:p w14:paraId="4B27AF95">
            <w:pPr>
              <w:adjustRightInd w:val="0"/>
              <w:snapToGrid w:val="0"/>
              <w:spacing w:line="340" w:lineRule="exact"/>
              <w:rPr>
                <w:rFonts w:ascii="宋体" w:hAnsi="宋体"/>
                <w:bCs/>
              </w:rPr>
            </w:pPr>
            <w:r>
              <w:rPr>
                <w:rFonts w:ascii="宋体" w:hAnsi="宋体"/>
                <w:bCs/>
              </w:rPr>
              <w:t>CHINESE MAINPORT</w:t>
            </w:r>
          </w:p>
        </w:tc>
      </w:tr>
      <w:tr w14:paraId="3B3FF9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37021510">
            <w:pPr>
              <w:adjustRightInd w:val="0"/>
              <w:snapToGrid w:val="0"/>
              <w:spacing w:line="340" w:lineRule="exact"/>
              <w:jc w:val="left"/>
              <w:rPr>
                <w:rFonts w:ascii="宋体" w:hAnsi="宋体"/>
                <w:bCs/>
              </w:rPr>
            </w:pPr>
            <w:r>
              <w:rPr>
                <w:rFonts w:ascii="宋体" w:hAnsi="宋体"/>
                <w:bCs/>
              </w:rPr>
              <w:t>PORT OF DISCHARGE</w:t>
            </w:r>
          </w:p>
        </w:tc>
        <w:tc>
          <w:tcPr>
            <w:tcW w:w="604" w:type="dxa"/>
          </w:tcPr>
          <w:p w14:paraId="1D6D1C01">
            <w:pPr>
              <w:tabs>
                <w:tab w:val="left" w:pos="284"/>
              </w:tabs>
              <w:adjustRightInd w:val="0"/>
              <w:snapToGrid w:val="0"/>
              <w:spacing w:line="340" w:lineRule="exact"/>
              <w:jc w:val="right"/>
              <w:rPr>
                <w:rFonts w:ascii="宋体" w:hAnsi="宋体"/>
                <w:bCs/>
              </w:rPr>
            </w:pPr>
            <w:r>
              <w:rPr>
                <w:rFonts w:ascii="宋体" w:hAnsi="宋体"/>
                <w:bCs/>
              </w:rPr>
              <w:t>44F：</w:t>
            </w:r>
          </w:p>
        </w:tc>
        <w:tc>
          <w:tcPr>
            <w:tcW w:w="5200" w:type="dxa"/>
          </w:tcPr>
          <w:p w14:paraId="119BC82D">
            <w:pPr>
              <w:adjustRightInd w:val="0"/>
              <w:snapToGrid w:val="0"/>
              <w:spacing w:line="340" w:lineRule="exact"/>
              <w:rPr>
                <w:rFonts w:ascii="宋体" w:hAnsi="宋体"/>
                <w:bCs/>
              </w:rPr>
            </w:pPr>
            <w:r>
              <w:rPr>
                <w:rFonts w:ascii="宋体" w:hAnsi="宋体"/>
                <w:bCs/>
              </w:rPr>
              <w:t>HAMBURG, GERMANY</w:t>
            </w:r>
          </w:p>
        </w:tc>
      </w:tr>
      <w:tr w14:paraId="40F7D0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306D45E7">
            <w:pPr>
              <w:adjustRightInd w:val="0"/>
              <w:snapToGrid w:val="0"/>
              <w:spacing w:line="360" w:lineRule="exact"/>
              <w:jc w:val="left"/>
              <w:rPr>
                <w:rFonts w:ascii="宋体" w:hAnsi="宋体"/>
                <w:bCs/>
              </w:rPr>
            </w:pPr>
            <w:r>
              <w:rPr>
                <w:rFonts w:ascii="宋体" w:hAnsi="宋体"/>
                <w:bCs/>
              </w:rPr>
              <w:t>LATEST DATE OF SHIPMENT</w:t>
            </w:r>
          </w:p>
        </w:tc>
        <w:tc>
          <w:tcPr>
            <w:tcW w:w="604" w:type="dxa"/>
          </w:tcPr>
          <w:p w14:paraId="1A888587">
            <w:pPr>
              <w:tabs>
                <w:tab w:val="left" w:pos="284"/>
              </w:tabs>
              <w:adjustRightInd w:val="0"/>
              <w:snapToGrid w:val="0"/>
              <w:spacing w:line="360" w:lineRule="exact"/>
              <w:jc w:val="right"/>
              <w:rPr>
                <w:rFonts w:ascii="宋体" w:hAnsi="宋体"/>
                <w:bCs/>
              </w:rPr>
            </w:pPr>
            <w:r>
              <w:rPr>
                <w:rFonts w:ascii="宋体" w:hAnsi="宋体"/>
                <w:bCs/>
              </w:rPr>
              <w:t>44C：</w:t>
            </w:r>
          </w:p>
        </w:tc>
        <w:tc>
          <w:tcPr>
            <w:tcW w:w="5200" w:type="dxa"/>
          </w:tcPr>
          <w:p w14:paraId="286C5F4F">
            <w:pPr>
              <w:adjustRightInd w:val="0"/>
              <w:snapToGrid w:val="0"/>
              <w:spacing w:line="360" w:lineRule="exact"/>
              <w:rPr>
                <w:rFonts w:ascii="宋体" w:hAnsi="宋体"/>
                <w:bCs/>
              </w:rPr>
            </w:pPr>
            <w:r>
              <w:rPr>
                <w:rFonts w:ascii="宋体" w:hAnsi="宋体"/>
                <w:bCs/>
              </w:rPr>
              <w:t>2</w:t>
            </w:r>
            <w:r>
              <w:rPr>
                <w:rFonts w:hint="eastAsia" w:ascii="宋体" w:hAnsi="宋体"/>
                <w:bCs/>
                <w:lang w:val="en-US" w:eastAsia="zh-CN"/>
              </w:rPr>
              <w:t>6</w:t>
            </w:r>
            <w:r>
              <w:rPr>
                <w:rFonts w:ascii="宋体" w:hAnsi="宋体"/>
                <w:bCs/>
              </w:rPr>
              <w:t>0430</w:t>
            </w:r>
          </w:p>
        </w:tc>
      </w:tr>
      <w:tr w14:paraId="35DD22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7667CA49">
            <w:pPr>
              <w:adjustRightInd w:val="0"/>
              <w:snapToGrid w:val="0"/>
              <w:spacing w:line="340" w:lineRule="exact"/>
              <w:jc w:val="left"/>
              <w:rPr>
                <w:rFonts w:ascii="宋体" w:hAnsi="宋体"/>
                <w:bCs/>
              </w:rPr>
            </w:pPr>
            <w:r>
              <w:rPr>
                <w:rFonts w:ascii="宋体" w:hAnsi="宋体"/>
                <w:bCs/>
              </w:rPr>
              <w:t>DESCRIPTION OF GOODS AND/OR SERVICES</w:t>
            </w:r>
          </w:p>
        </w:tc>
        <w:tc>
          <w:tcPr>
            <w:tcW w:w="604" w:type="dxa"/>
          </w:tcPr>
          <w:p w14:paraId="2304F14B">
            <w:pPr>
              <w:adjustRightInd w:val="0"/>
              <w:snapToGrid w:val="0"/>
              <w:spacing w:line="340" w:lineRule="exact"/>
              <w:jc w:val="right"/>
              <w:rPr>
                <w:rFonts w:ascii="宋体" w:hAnsi="宋体"/>
                <w:bCs/>
              </w:rPr>
            </w:pPr>
            <w:r>
              <w:rPr>
                <w:rFonts w:ascii="宋体" w:hAnsi="宋体"/>
                <w:bCs/>
              </w:rPr>
              <w:t>45A：</w:t>
            </w:r>
          </w:p>
        </w:tc>
        <w:tc>
          <w:tcPr>
            <w:tcW w:w="5200" w:type="dxa"/>
          </w:tcPr>
          <w:p w14:paraId="6A795264">
            <w:pPr>
              <w:adjustRightInd w:val="0"/>
              <w:snapToGrid w:val="0"/>
              <w:spacing w:line="340" w:lineRule="exact"/>
              <w:rPr>
                <w:rFonts w:ascii="宋体" w:hAnsi="宋体"/>
                <w:bCs/>
              </w:rPr>
            </w:pPr>
            <w:r>
              <w:rPr>
                <w:rFonts w:ascii="宋体" w:hAnsi="宋体"/>
                <w:bCs/>
              </w:rPr>
              <w:t>COTTON DISHCLOTH</w:t>
            </w:r>
          </w:p>
          <w:p w14:paraId="2A771121">
            <w:pPr>
              <w:adjustRightInd w:val="0"/>
              <w:snapToGrid w:val="0"/>
              <w:spacing w:line="340" w:lineRule="exact"/>
              <w:rPr>
                <w:rFonts w:ascii="宋体" w:hAnsi="宋体"/>
                <w:bCs/>
              </w:rPr>
            </w:pPr>
            <w:r>
              <w:rPr>
                <w:rFonts w:ascii="宋体" w:hAnsi="宋体"/>
                <w:bCs/>
              </w:rPr>
              <w:t>ART</w:t>
            </w:r>
            <w:r>
              <w:rPr>
                <w:rFonts w:hint="eastAsia" w:ascii="宋体" w:hAnsi="宋体"/>
                <w:bCs/>
              </w:rPr>
              <w:t>.</w:t>
            </w:r>
            <w:r>
              <w:rPr>
                <w:rFonts w:ascii="宋体" w:hAnsi="宋体"/>
                <w:bCs/>
              </w:rPr>
              <w:t>NO.GL80  5000PCS   EUR 8.20/PC</w:t>
            </w:r>
          </w:p>
          <w:p w14:paraId="5126BB9F">
            <w:pPr>
              <w:adjustRightInd w:val="0"/>
              <w:snapToGrid w:val="0"/>
              <w:spacing w:line="340" w:lineRule="exact"/>
              <w:rPr>
                <w:rFonts w:ascii="宋体" w:hAnsi="宋体"/>
                <w:bCs/>
              </w:rPr>
            </w:pPr>
            <w:r>
              <w:rPr>
                <w:rFonts w:ascii="宋体" w:hAnsi="宋体"/>
                <w:bCs/>
              </w:rPr>
              <w:t>ART.NO.GL87  5000PCS   EUR 8.00/PC</w:t>
            </w:r>
          </w:p>
          <w:p w14:paraId="40186648">
            <w:pPr>
              <w:adjustRightInd w:val="0"/>
              <w:snapToGrid w:val="0"/>
              <w:spacing w:line="340" w:lineRule="exact"/>
              <w:rPr>
                <w:rFonts w:ascii="宋体" w:hAnsi="宋体"/>
                <w:bCs/>
              </w:rPr>
            </w:pPr>
            <w:r>
              <w:rPr>
                <w:rFonts w:ascii="宋体" w:hAnsi="宋体"/>
                <w:bCs/>
              </w:rPr>
              <w:t>PACKED 40PCS IN ONE CARTON</w:t>
            </w:r>
          </w:p>
          <w:p w14:paraId="0C9EB1E9">
            <w:pPr>
              <w:adjustRightInd w:val="0"/>
              <w:snapToGrid w:val="0"/>
              <w:spacing w:line="340" w:lineRule="exact"/>
              <w:rPr>
                <w:rFonts w:ascii="宋体" w:hAnsi="宋体"/>
                <w:bCs/>
              </w:rPr>
            </w:pPr>
            <w:r>
              <w:rPr>
                <w:rFonts w:hint="eastAsia" w:ascii="宋体" w:hAnsi="宋体"/>
                <w:bCs/>
              </w:rPr>
              <w:t>C</w:t>
            </w:r>
            <w:r>
              <w:rPr>
                <w:rFonts w:ascii="宋体" w:hAnsi="宋体"/>
                <w:bCs/>
              </w:rPr>
              <w:t>FR HAMBURG, GERMANY</w:t>
            </w:r>
          </w:p>
        </w:tc>
      </w:tr>
      <w:tr w14:paraId="3206A0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3C35099A">
            <w:pPr>
              <w:adjustRightInd w:val="0"/>
              <w:snapToGrid w:val="0"/>
              <w:spacing w:line="340" w:lineRule="exact"/>
              <w:jc w:val="left"/>
              <w:rPr>
                <w:rFonts w:ascii="宋体" w:hAnsi="宋体"/>
                <w:bCs/>
              </w:rPr>
            </w:pPr>
            <w:r>
              <w:rPr>
                <w:rFonts w:ascii="宋体" w:hAnsi="宋体"/>
                <w:bCs/>
              </w:rPr>
              <w:t>DOCUMENTS REQUIRED</w:t>
            </w:r>
          </w:p>
        </w:tc>
        <w:tc>
          <w:tcPr>
            <w:tcW w:w="604" w:type="dxa"/>
          </w:tcPr>
          <w:p w14:paraId="6ADDDA56">
            <w:pPr>
              <w:adjustRightInd w:val="0"/>
              <w:snapToGrid w:val="0"/>
              <w:spacing w:line="340" w:lineRule="exact"/>
              <w:jc w:val="right"/>
              <w:rPr>
                <w:rFonts w:ascii="宋体" w:hAnsi="宋体"/>
                <w:bCs/>
              </w:rPr>
            </w:pPr>
            <w:r>
              <w:rPr>
                <w:rFonts w:ascii="宋体" w:hAnsi="宋体"/>
                <w:bCs/>
              </w:rPr>
              <w:t>46A：</w:t>
            </w:r>
          </w:p>
        </w:tc>
        <w:tc>
          <w:tcPr>
            <w:tcW w:w="5200" w:type="dxa"/>
          </w:tcPr>
          <w:p w14:paraId="79BE5298">
            <w:pPr>
              <w:spacing w:line="340" w:lineRule="exact"/>
              <w:ind w:firstLine="14" w:firstLineChars="7"/>
              <w:rPr>
                <w:rFonts w:ascii="宋体" w:hAnsi="宋体"/>
                <w:bCs/>
              </w:rPr>
            </w:pPr>
            <w:r>
              <w:rPr>
                <w:rFonts w:ascii="宋体" w:hAnsi="宋体"/>
                <w:bCs/>
              </w:rPr>
              <w:t>+ SIGNED IN INK INVOICE IN TRIPLICATE</w:t>
            </w:r>
          </w:p>
          <w:p w14:paraId="1465F0F8">
            <w:pPr>
              <w:spacing w:line="340" w:lineRule="exact"/>
              <w:ind w:left="210" w:hanging="210" w:hangingChars="100"/>
              <w:rPr>
                <w:rFonts w:ascii="宋体" w:hAnsi="宋体"/>
                <w:bCs/>
              </w:rPr>
            </w:pPr>
            <w:r>
              <w:rPr>
                <w:rFonts w:ascii="宋体" w:hAnsi="宋体"/>
                <w:bCs/>
              </w:rPr>
              <w:t>+ FULL SET OF CLEAN ON BOARD OCEAN BILL OF LADING MARKED “FREIGHT PREPAID” MADE OUT TO ORDER NOTIFYING THE APPLICANT</w:t>
            </w:r>
          </w:p>
          <w:p w14:paraId="489BE092">
            <w:pPr>
              <w:spacing w:line="340" w:lineRule="exact"/>
              <w:ind w:firstLine="14" w:firstLineChars="7"/>
              <w:rPr>
                <w:rFonts w:ascii="宋体" w:hAnsi="宋体"/>
                <w:bCs/>
              </w:rPr>
            </w:pPr>
            <w:r>
              <w:rPr>
                <w:rFonts w:ascii="宋体" w:hAnsi="宋体"/>
                <w:bCs/>
              </w:rPr>
              <w:t>+ PACKING LIST IN TRIPLICATE</w:t>
            </w:r>
          </w:p>
          <w:p w14:paraId="2D3B1ADD">
            <w:pPr>
              <w:spacing w:line="340" w:lineRule="exact"/>
              <w:ind w:firstLine="14" w:firstLineChars="7"/>
              <w:rPr>
                <w:rFonts w:ascii="宋体" w:hAnsi="宋体"/>
                <w:bCs/>
              </w:rPr>
            </w:pPr>
            <w:r>
              <w:rPr>
                <w:rFonts w:ascii="宋体" w:hAnsi="宋体"/>
                <w:bCs/>
              </w:rPr>
              <w:t>+ THE CERTIFICATE OF ORIGIN CERTIFIED BY C.C.P.I.T.</w:t>
            </w:r>
          </w:p>
        </w:tc>
      </w:tr>
      <w:tr w14:paraId="74354A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5D272A75">
            <w:pPr>
              <w:adjustRightInd w:val="0"/>
              <w:snapToGrid w:val="0"/>
              <w:spacing w:line="340" w:lineRule="exact"/>
              <w:jc w:val="left"/>
              <w:rPr>
                <w:rFonts w:ascii="宋体" w:hAnsi="宋体"/>
                <w:bCs/>
              </w:rPr>
            </w:pPr>
            <w:r>
              <w:rPr>
                <w:rFonts w:ascii="宋体" w:hAnsi="宋体"/>
                <w:bCs/>
              </w:rPr>
              <w:t>ADDITIONAL CONDITION</w:t>
            </w:r>
          </w:p>
        </w:tc>
        <w:tc>
          <w:tcPr>
            <w:tcW w:w="604" w:type="dxa"/>
          </w:tcPr>
          <w:p w14:paraId="310CACCD">
            <w:pPr>
              <w:tabs>
                <w:tab w:val="left" w:pos="284"/>
              </w:tabs>
              <w:adjustRightInd w:val="0"/>
              <w:snapToGrid w:val="0"/>
              <w:spacing w:line="340" w:lineRule="exact"/>
              <w:jc w:val="right"/>
              <w:rPr>
                <w:rFonts w:ascii="宋体" w:hAnsi="宋体"/>
                <w:bCs/>
              </w:rPr>
            </w:pPr>
            <w:r>
              <w:rPr>
                <w:rFonts w:ascii="宋体" w:hAnsi="宋体"/>
                <w:bCs/>
              </w:rPr>
              <w:t>47A：</w:t>
            </w:r>
          </w:p>
        </w:tc>
        <w:tc>
          <w:tcPr>
            <w:tcW w:w="5200" w:type="dxa"/>
          </w:tcPr>
          <w:p w14:paraId="3630931C">
            <w:pPr>
              <w:adjustRightInd w:val="0"/>
              <w:snapToGrid w:val="0"/>
              <w:spacing w:line="340" w:lineRule="exact"/>
              <w:ind w:left="210" w:hanging="210" w:hangingChars="100"/>
              <w:rPr>
                <w:rFonts w:ascii="宋体" w:hAnsi="宋体"/>
                <w:bCs/>
              </w:rPr>
            </w:pPr>
            <w:r>
              <w:rPr>
                <w:rFonts w:ascii="宋体" w:hAnsi="宋体"/>
                <w:bCs/>
              </w:rPr>
              <w:t>+ ALL DOCUMENTS MUST INDICATE THE NUMBER OF THIS CREDIT</w:t>
            </w:r>
          </w:p>
        </w:tc>
      </w:tr>
      <w:tr w14:paraId="393AD1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58C4759F">
            <w:pPr>
              <w:adjustRightInd w:val="0"/>
              <w:snapToGrid w:val="0"/>
              <w:spacing w:line="340" w:lineRule="exact"/>
              <w:jc w:val="left"/>
              <w:rPr>
                <w:rFonts w:ascii="宋体" w:hAnsi="宋体"/>
                <w:bCs/>
              </w:rPr>
            </w:pPr>
          </w:p>
        </w:tc>
        <w:tc>
          <w:tcPr>
            <w:tcW w:w="604" w:type="dxa"/>
          </w:tcPr>
          <w:p w14:paraId="181DFB49">
            <w:pPr>
              <w:tabs>
                <w:tab w:val="left" w:pos="284"/>
              </w:tabs>
              <w:adjustRightInd w:val="0"/>
              <w:snapToGrid w:val="0"/>
              <w:spacing w:line="340" w:lineRule="exact"/>
              <w:jc w:val="right"/>
              <w:rPr>
                <w:rFonts w:ascii="宋体" w:hAnsi="宋体"/>
                <w:bCs/>
              </w:rPr>
            </w:pPr>
          </w:p>
        </w:tc>
        <w:tc>
          <w:tcPr>
            <w:tcW w:w="5200" w:type="dxa"/>
          </w:tcPr>
          <w:p w14:paraId="666127EC">
            <w:pPr>
              <w:adjustRightInd w:val="0"/>
              <w:snapToGrid w:val="0"/>
              <w:spacing w:line="340" w:lineRule="exact"/>
              <w:ind w:left="210" w:hanging="210" w:hangingChars="100"/>
              <w:rPr>
                <w:rFonts w:ascii="宋体" w:hAnsi="宋体"/>
                <w:bCs/>
              </w:rPr>
            </w:pPr>
            <w:r>
              <w:rPr>
                <w:rFonts w:ascii="宋体" w:hAnsi="宋体"/>
                <w:bCs/>
              </w:rPr>
              <w:t xml:space="preserve">+ ALL PRESENTATIONS CONTAINING DISCREPANCIES WILL ATTRACT A DISCREPANCY FEE OF EUR50.00 PLUS TELEX COSTS OR OTHER CURRENCY EQUIVALENT. THIS CHARGE WILL BE DEDUCTED FROM THE BILL AMOUNT WHETHER OR NOT WE ELECT TO CONSULT THE APPLICANT FOR A WAIVER </w:t>
            </w:r>
          </w:p>
        </w:tc>
      </w:tr>
      <w:tr w14:paraId="2980C9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06824365">
            <w:pPr>
              <w:adjustRightInd w:val="0"/>
              <w:snapToGrid w:val="0"/>
              <w:spacing w:line="280" w:lineRule="exact"/>
              <w:jc w:val="left"/>
              <w:rPr>
                <w:rFonts w:ascii="宋体" w:hAnsi="宋体"/>
                <w:bCs/>
              </w:rPr>
            </w:pPr>
            <w:r>
              <w:rPr>
                <w:rFonts w:ascii="宋体" w:hAnsi="宋体"/>
                <w:bCs/>
              </w:rPr>
              <w:t>CHARGES</w:t>
            </w:r>
          </w:p>
        </w:tc>
        <w:tc>
          <w:tcPr>
            <w:tcW w:w="604" w:type="dxa"/>
          </w:tcPr>
          <w:p w14:paraId="1ADA0751">
            <w:pPr>
              <w:tabs>
                <w:tab w:val="left" w:pos="284"/>
              </w:tabs>
              <w:adjustRightInd w:val="0"/>
              <w:snapToGrid w:val="0"/>
              <w:spacing w:line="280" w:lineRule="exact"/>
              <w:jc w:val="right"/>
              <w:rPr>
                <w:rFonts w:ascii="宋体" w:hAnsi="宋体"/>
                <w:bCs/>
              </w:rPr>
            </w:pPr>
            <w:r>
              <w:rPr>
                <w:rFonts w:ascii="宋体" w:hAnsi="宋体"/>
                <w:bCs/>
              </w:rPr>
              <w:t xml:space="preserve"> 71</w:t>
            </w:r>
            <w:r>
              <w:rPr>
                <w:rFonts w:hint="eastAsia" w:ascii="宋体" w:hAnsi="宋体"/>
                <w:bCs/>
              </w:rPr>
              <w:t>D</w:t>
            </w:r>
            <w:r>
              <w:rPr>
                <w:rFonts w:ascii="宋体" w:hAnsi="宋体"/>
                <w:bCs/>
              </w:rPr>
              <w:t>：</w:t>
            </w:r>
          </w:p>
        </w:tc>
        <w:tc>
          <w:tcPr>
            <w:tcW w:w="5200" w:type="dxa"/>
          </w:tcPr>
          <w:p w14:paraId="2FE1FFE7">
            <w:pPr>
              <w:adjustRightInd w:val="0"/>
              <w:snapToGrid w:val="0"/>
              <w:spacing w:line="280" w:lineRule="exact"/>
              <w:rPr>
                <w:rFonts w:ascii="宋体" w:hAnsi="宋体"/>
                <w:bCs/>
              </w:rPr>
            </w:pPr>
            <w:r>
              <w:rPr>
                <w:rFonts w:ascii="宋体" w:hAnsi="宋体"/>
                <w:bCs/>
              </w:rPr>
              <w:t>ALL CHARGES ARE FOR ACCOUNT OF BENEFICIARY OUTSIDE OF GERMANY</w:t>
            </w:r>
          </w:p>
        </w:tc>
      </w:tr>
      <w:tr w14:paraId="028639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0412CB6E">
            <w:pPr>
              <w:adjustRightInd w:val="0"/>
              <w:snapToGrid w:val="0"/>
              <w:spacing w:line="340" w:lineRule="exact"/>
              <w:jc w:val="left"/>
              <w:rPr>
                <w:rFonts w:ascii="宋体" w:hAnsi="宋体"/>
                <w:bCs/>
              </w:rPr>
            </w:pPr>
            <w:r>
              <w:rPr>
                <w:rFonts w:ascii="宋体" w:hAnsi="宋体"/>
                <w:bCs/>
              </w:rPr>
              <w:t xml:space="preserve">PERIOD FOR PRESENTATION </w:t>
            </w:r>
            <w:r>
              <w:rPr>
                <w:rFonts w:hint="eastAsia" w:ascii="宋体" w:hAnsi="宋体"/>
                <w:bCs/>
              </w:rPr>
              <w:t>IN DAYS</w:t>
            </w:r>
          </w:p>
        </w:tc>
        <w:tc>
          <w:tcPr>
            <w:tcW w:w="604" w:type="dxa"/>
          </w:tcPr>
          <w:p w14:paraId="74D3474E">
            <w:pPr>
              <w:tabs>
                <w:tab w:val="left" w:pos="284"/>
              </w:tabs>
              <w:adjustRightInd w:val="0"/>
              <w:snapToGrid w:val="0"/>
              <w:spacing w:line="340" w:lineRule="exact"/>
              <w:jc w:val="right"/>
              <w:rPr>
                <w:rFonts w:ascii="宋体" w:hAnsi="宋体"/>
                <w:bCs/>
              </w:rPr>
            </w:pPr>
            <w:r>
              <w:rPr>
                <w:rFonts w:ascii="宋体" w:hAnsi="宋体"/>
                <w:bCs/>
              </w:rPr>
              <w:t>48：</w:t>
            </w:r>
          </w:p>
        </w:tc>
        <w:tc>
          <w:tcPr>
            <w:tcW w:w="5200" w:type="dxa"/>
          </w:tcPr>
          <w:p w14:paraId="4D3DAAB6">
            <w:pPr>
              <w:adjustRightInd w:val="0"/>
              <w:snapToGrid w:val="0"/>
              <w:spacing w:line="340" w:lineRule="exact"/>
              <w:rPr>
                <w:rFonts w:ascii="宋体" w:hAnsi="宋体"/>
                <w:bCs/>
              </w:rPr>
            </w:pPr>
            <w:r>
              <w:rPr>
                <w:rFonts w:hint="eastAsia" w:ascii="宋体" w:hAnsi="宋体"/>
                <w:bCs/>
              </w:rPr>
              <w:t>15</w:t>
            </w:r>
          </w:p>
        </w:tc>
      </w:tr>
      <w:tr w14:paraId="55CDE6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77327331">
            <w:pPr>
              <w:adjustRightInd w:val="0"/>
              <w:snapToGrid w:val="0"/>
              <w:spacing w:line="340" w:lineRule="exact"/>
              <w:jc w:val="left"/>
              <w:rPr>
                <w:rFonts w:ascii="宋体" w:hAnsi="宋体"/>
                <w:bCs/>
              </w:rPr>
            </w:pPr>
            <w:r>
              <w:rPr>
                <w:rFonts w:ascii="宋体" w:hAnsi="宋体"/>
                <w:bCs/>
              </w:rPr>
              <w:t>CONFIRMATION INSTRUCTION</w:t>
            </w:r>
          </w:p>
        </w:tc>
        <w:tc>
          <w:tcPr>
            <w:tcW w:w="604" w:type="dxa"/>
          </w:tcPr>
          <w:p w14:paraId="6E149CA0">
            <w:pPr>
              <w:tabs>
                <w:tab w:val="left" w:pos="284"/>
              </w:tabs>
              <w:adjustRightInd w:val="0"/>
              <w:snapToGrid w:val="0"/>
              <w:spacing w:line="340" w:lineRule="exact"/>
              <w:jc w:val="right"/>
              <w:rPr>
                <w:rFonts w:ascii="宋体" w:hAnsi="宋体"/>
                <w:bCs/>
              </w:rPr>
            </w:pPr>
            <w:r>
              <w:rPr>
                <w:rFonts w:ascii="宋体" w:hAnsi="宋体"/>
                <w:bCs/>
              </w:rPr>
              <w:t>49 ：</w:t>
            </w:r>
          </w:p>
        </w:tc>
        <w:tc>
          <w:tcPr>
            <w:tcW w:w="5200" w:type="dxa"/>
          </w:tcPr>
          <w:p w14:paraId="40DD0BA2">
            <w:pPr>
              <w:adjustRightInd w:val="0"/>
              <w:snapToGrid w:val="0"/>
              <w:spacing w:line="340" w:lineRule="exact"/>
              <w:rPr>
                <w:rFonts w:ascii="宋体" w:hAnsi="宋体"/>
                <w:bCs/>
              </w:rPr>
            </w:pPr>
            <w:r>
              <w:rPr>
                <w:rFonts w:ascii="宋体" w:hAnsi="宋体"/>
                <w:bCs/>
              </w:rPr>
              <w:t>WITHOUT</w:t>
            </w:r>
          </w:p>
        </w:tc>
      </w:tr>
      <w:tr w14:paraId="601D08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7" w:type="dxa"/>
            <w:bottom w:w="0" w:type="dxa"/>
            <w:right w:w="57" w:type="dxa"/>
          </w:tblCellMar>
        </w:tblPrEx>
        <w:trPr>
          <w:jc w:val="center"/>
        </w:trPr>
        <w:tc>
          <w:tcPr>
            <w:tcW w:w="2288" w:type="dxa"/>
          </w:tcPr>
          <w:p w14:paraId="4A66F3E2">
            <w:pPr>
              <w:adjustRightInd w:val="0"/>
              <w:snapToGrid w:val="0"/>
              <w:spacing w:line="340" w:lineRule="exact"/>
              <w:jc w:val="left"/>
              <w:rPr>
                <w:rFonts w:ascii="宋体" w:hAnsi="宋体"/>
                <w:bCs/>
              </w:rPr>
            </w:pPr>
            <w:r>
              <w:rPr>
                <w:rFonts w:ascii="宋体" w:hAnsi="宋体"/>
                <w:bCs/>
              </w:rPr>
              <w:t>INFORMATION TO PRESENTING BANK</w:t>
            </w:r>
          </w:p>
        </w:tc>
        <w:tc>
          <w:tcPr>
            <w:tcW w:w="604" w:type="dxa"/>
          </w:tcPr>
          <w:p w14:paraId="0488C809">
            <w:pPr>
              <w:tabs>
                <w:tab w:val="left" w:pos="284"/>
              </w:tabs>
              <w:adjustRightInd w:val="0"/>
              <w:snapToGrid w:val="0"/>
              <w:spacing w:line="340" w:lineRule="exact"/>
              <w:jc w:val="right"/>
              <w:rPr>
                <w:rFonts w:ascii="宋体" w:hAnsi="宋体"/>
                <w:bCs/>
              </w:rPr>
            </w:pPr>
            <w:r>
              <w:rPr>
                <w:rFonts w:ascii="宋体" w:hAnsi="宋体"/>
                <w:bCs/>
              </w:rPr>
              <w:t>78 ：</w:t>
            </w:r>
          </w:p>
        </w:tc>
        <w:tc>
          <w:tcPr>
            <w:tcW w:w="5200" w:type="dxa"/>
          </w:tcPr>
          <w:p w14:paraId="10DD5273">
            <w:pPr>
              <w:adjustRightInd w:val="0"/>
              <w:snapToGrid w:val="0"/>
              <w:spacing w:line="340" w:lineRule="exact"/>
              <w:rPr>
                <w:rFonts w:ascii="宋体" w:hAnsi="宋体"/>
                <w:bCs/>
              </w:rPr>
            </w:pPr>
            <w:r>
              <w:rPr>
                <w:rFonts w:ascii="宋体" w:hAnsi="宋体"/>
                <w:bCs/>
              </w:rPr>
              <w:t>ALL DOCUMENTS ARE TO BE REMITTED IN TWO LOTS BY COURIER TO BANK OF CHINA, HAMBURG BRANCH，TRADE FINANCE SERVICES, RATHAUSMARKT 5, 20095 HAMBURG, GERMANY.</w:t>
            </w:r>
          </w:p>
        </w:tc>
      </w:tr>
    </w:tbl>
    <w:p w14:paraId="502A3BC6">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【单证缮制要求】</w:t>
      </w:r>
    </w:p>
    <w:p w14:paraId="42923646">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请参赛选手以外贸单证员的身份，根据信用证、UCP600、ISBP821和货物实际出运信息，按照“正确、完整、及时、简明和整洁”的要求，在“空白商业发票”制作商业发票。</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861"/>
        <w:gridCol w:w="494"/>
        <w:gridCol w:w="2864"/>
        <w:gridCol w:w="977"/>
        <w:gridCol w:w="1320"/>
        <w:gridCol w:w="1602"/>
      </w:tblGrid>
      <w:tr w14:paraId="3F013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0" w:hRule="atLeast"/>
          <w:jc w:val="center"/>
        </w:trPr>
        <w:tc>
          <w:tcPr>
            <w:tcW w:w="8118" w:type="dxa"/>
            <w:gridSpan w:val="6"/>
            <w:tcBorders>
              <w:bottom w:val="nil"/>
            </w:tcBorders>
            <w:tcMar>
              <w:left w:w="57" w:type="dxa"/>
              <w:right w:w="57" w:type="dxa"/>
            </w:tcMar>
          </w:tcPr>
          <w:p w14:paraId="2E9FD39C">
            <w:pPr>
              <w:spacing w:line="300" w:lineRule="exact"/>
              <w:jc w:val="center"/>
              <w:rPr>
                <w:rFonts w:ascii="宋体" w:hAnsi="宋体"/>
                <w:bCs/>
              </w:rPr>
            </w:pPr>
          </w:p>
        </w:tc>
      </w:tr>
      <w:tr w14:paraId="0BAAA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9" w:hRule="atLeast"/>
          <w:jc w:val="center"/>
        </w:trPr>
        <w:tc>
          <w:tcPr>
            <w:tcW w:w="8118" w:type="dxa"/>
            <w:gridSpan w:val="6"/>
            <w:tcBorders>
              <w:top w:val="nil"/>
            </w:tcBorders>
            <w:tcMar>
              <w:left w:w="57" w:type="dxa"/>
              <w:right w:w="57" w:type="dxa"/>
            </w:tcMar>
          </w:tcPr>
          <w:p w14:paraId="691E60D0">
            <w:pPr>
              <w:pStyle w:val="5"/>
              <w:spacing w:before="312" w:beforeLines="100" w:after="312" w:afterLines="100" w:line="300" w:lineRule="exact"/>
              <w:jc w:val="center"/>
              <w:rPr>
                <w:rFonts w:ascii="宋体" w:hAnsi="宋体" w:eastAsia="宋体"/>
                <w:bCs/>
                <w:sz w:val="21"/>
                <w:szCs w:val="21"/>
              </w:rPr>
            </w:pPr>
            <w:r>
              <w:rPr>
                <w:rFonts w:ascii="宋体" w:hAnsi="宋体" w:eastAsia="宋体"/>
                <w:bCs/>
                <w:sz w:val="21"/>
                <w:szCs w:val="21"/>
              </w:rPr>
              <w:t>COMMERCIAL INVOICE</w:t>
            </w:r>
          </w:p>
        </w:tc>
      </w:tr>
      <w:tr w14:paraId="37BAD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jc w:val="center"/>
        </w:trPr>
        <w:tc>
          <w:tcPr>
            <w:tcW w:w="861" w:type="dxa"/>
            <w:vMerge w:val="restart"/>
          </w:tcPr>
          <w:p w14:paraId="5CBB5D48">
            <w:pPr>
              <w:spacing w:line="300" w:lineRule="exact"/>
              <w:rPr>
                <w:rFonts w:ascii="宋体" w:hAnsi="宋体"/>
                <w:bCs/>
              </w:rPr>
            </w:pPr>
            <w:r>
              <w:rPr>
                <w:rFonts w:ascii="宋体" w:hAnsi="宋体"/>
                <w:bCs/>
              </w:rPr>
              <w:t>To:</w:t>
            </w:r>
          </w:p>
        </w:tc>
        <w:tc>
          <w:tcPr>
            <w:tcW w:w="4335" w:type="dxa"/>
            <w:gridSpan w:val="3"/>
            <w:vMerge w:val="restart"/>
          </w:tcPr>
          <w:p w14:paraId="78124290">
            <w:pPr>
              <w:adjustRightInd w:val="0"/>
              <w:snapToGrid w:val="0"/>
              <w:spacing w:line="300" w:lineRule="exact"/>
              <w:rPr>
                <w:rFonts w:ascii="宋体" w:hAnsi="宋体"/>
                <w:bCs/>
              </w:rPr>
            </w:pPr>
          </w:p>
        </w:tc>
        <w:tc>
          <w:tcPr>
            <w:tcW w:w="1320" w:type="dxa"/>
          </w:tcPr>
          <w:p w14:paraId="132D2C95">
            <w:pPr>
              <w:spacing w:line="300" w:lineRule="exact"/>
              <w:rPr>
                <w:rFonts w:ascii="宋体" w:hAnsi="宋体"/>
                <w:bCs/>
              </w:rPr>
            </w:pPr>
            <w:r>
              <w:rPr>
                <w:rFonts w:ascii="宋体" w:hAnsi="宋体"/>
                <w:bCs/>
              </w:rPr>
              <w:t>Invoice No.:</w:t>
            </w:r>
          </w:p>
        </w:tc>
        <w:tc>
          <w:tcPr>
            <w:tcW w:w="1602" w:type="dxa"/>
            <w:tcMar>
              <w:left w:w="57" w:type="dxa"/>
              <w:right w:w="57" w:type="dxa"/>
            </w:tcMar>
          </w:tcPr>
          <w:p w14:paraId="5E671448">
            <w:pPr>
              <w:snapToGrid w:val="0"/>
              <w:spacing w:line="300" w:lineRule="exact"/>
              <w:ind w:left="57" w:right="57"/>
              <w:rPr>
                <w:rFonts w:ascii="宋体" w:hAnsi="宋体"/>
                <w:bCs/>
              </w:rPr>
            </w:pPr>
          </w:p>
        </w:tc>
      </w:tr>
      <w:tr w14:paraId="00106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jc w:val="center"/>
        </w:trPr>
        <w:tc>
          <w:tcPr>
            <w:tcW w:w="861" w:type="dxa"/>
            <w:vMerge w:val="continue"/>
            <w:vAlign w:val="center"/>
          </w:tcPr>
          <w:p w14:paraId="1B104632">
            <w:pPr>
              <w:spacing w:line="300" w:lineRule="exact"/>
              <w:rPr>
                <w:rFonts w:ascii="宋体" w:hAnsi="宋体"/>
                <w:bCs/>
              </w:rPr>
            </w:pPr>
          </w:p>
        </w:tc>
        <w:tc>
          <w:tcPr>
            <w:tcW w:w="4335" w:type="dxa"/>
            <w:gridSpan w:val="3"/>
            <w:vMerge w:val="continue"/>
          </w:tcPr>
          <w:p w14:paraId="652583DC">
            <w:pPr>
              <w:spacing w:line="300" w:lineRule="exact"/>
              <w:rPr>
                <w:rFonts w:ascii="宋体" w:hAnsi="宋体"/>
                <w:bCs/>
              </w:rPr>
            </w:pPr>
          </w:p>
        </w:tc>
        <w:tc>
          <w:tcPr>
            <w:tcW w:w="1320" w:type="dxa"/>
          </w:tcPr>
          <w:p w14:paraId="5599BEA9">
            <w:pPr>
              <w:spacing w:line="300" w:lineRule="exact"/>
              <w:rPr>
                <w:rFonts w:ascii="宋体" w:hAnsi="宋体"/>
                <w:bCs/>
              </w:rPr>
            </w:pPr>
            <w:r>
              <w:rPr>
                <w:rFonts w:ascii="宋体" w:hAnsi="宋体"/>
                <w:bCs/>
              </w:rPr>
              <w:t>Invoice Date:</w:t>
            </w:r>
          </w:p>
        </w:tc>
        <w:tc>
          <w:tcPr>
            <w:tcW w:w="1602" w:type="dxa"/>
            <w:tcMar>
              <w:left w:w="57" w:type="dxa"/>
              <w:right w:w="57" w:type="dxa"/>
            </w:tcMar>
          </w:tcPr>
          <w:p w14:paraId="19BA69BA">
            <w:pPr>
              <w:snapToGrid w:val="0"/>
              <w:spacing w:line="300" w:lineRule="exact"/>
              <w:ind w:left="57" w:right="57"/>
              <w:rPr>
                <w:rFonts w:ascii="宋体" w:hAnsi="宋体"/>
                <w:bCs/>
              </w:rPr>
            </w:pPr>
          </w:p>
        </w:tc>
      </w:tr>
      <w:tr w14:paraId="0072F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jc w:val="center"/>
        </w:trPr>
        <w:tc>
          <w:tcPr>
            <w:tcW w:w="861" w:type="dxa"/>
            <w:vMerge w:val="continue"/>
            <w:vAlign w:val="center"/>
          </w:tcPr>
          <w:p w14:paraId="4EB86D62">
            <w:pPr>
              <w:spacing w:line="300" w:lineRule="exact"/>
              <w:rPr>
                <w:rFonts w:ascii="宋体" w:hAnsi="宋体"/>
                <w:bCs/>
              </w:rPr>
            </w:pPr>
          </w:p>
        </w:tc>
        <w:tc>
          <w:tcPr>
            <w:tcW w:w="4335" w:type="dxa"/>
            <w:gridSpan w:val="3"/>
            <w:vMerge w:val="continue"/>
          </w:tcPr>
          <w:p w14:paraId="06999C01">
            <w:pPr>
              <w:spacing w:line="300" w:lineRule="exact"/>
              <w:rPr>
                <w:rFonts w:ascii="宋体" w:hAnsi="宋体"/>
                <w:bCs/>
              </w:rPr>
            </w:pPr>
          </w:p>
        </w:tc>
        <w:tc>
          <w:tcPr>
            <w:tcW w:w="1320" w:type="dxa"/>
          </w:tcPr>
          <w:p w14:paraId="47C4F232">
            <w:pPr>
              <w:spacing w:line="300" w:lineRule="exact"/>
              <w:rPr>
                <w:rFonts w:ascii="宋体" w:hAnsi="宋体"/>
                <w:bCs/>
              </w:rPr>
            </w:pPr>
            <w:r>
              <w:rPr>
                <w:rFonts w:ascii="宋体" w:hAnsi="宋体"/>
                <w:bCs/>
              </w:rPr>
              <w:t>S/C No.:</w:t>
            </w:r>
          </w:p>
        </w:tc>
        <w:tc>
          <w:tcPr>
            <w:tcW w:w="1602" w:type="dxa"/>
            <w:tcMar>
              <w:left w:w="57" w:type="dxa"/>
              <w:right w:w="57" w:type="dxa"/>
            </w:tcMar>
          </w:tcPr>
          <w:p w14:paraId="1EB0B164">
            <w:pPr>
              <w:spacing w:line="300" w:lineRule="exact"/>
              <w:rPr>
                <w:rFonts w:ascii="宋体" w:hAnsi="宋体"/>
                <w:bCs/>
              </w:rPr>
            </w:pPr>
          </w:p>
        </w:tc>
      </w:tr>
      <w:tr w14:paraId="10E4F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jc w:val="center"/>
        </w:trPr>
        <w:tc>
          <w:tcPr>
            <w:tcW w:w="861" w:type="dxa"/>
            <w:vMerge w:val="continue"/>
            <w:vAlign w:val="center"/>
          </w:tcPr>
          <w:p w14:paraId="0902C354">
            <w:pPr>
              <w:spacing w:line="300" w:lineRule="exact"/>
              <w:rPr>
                <w:rFonts w:ascii="宋体" w:hAnsi="宋体"/>
                <w:bCs/>
              </w:rPr>
            </w:pPr>
          </w:p>
        </w:tc>
        <w:tc>
          <w:tcPr>
            <w:tcW w:w="4335" w:type="dxa"/>
            <w:gridSpan w:val="3"/>
            <w:vMerge w:val="continue"/>
          </w:tcPr>
          <w:p w14:paraId="20AFB068">
            <w:pPr>
              <w:spacing w:line="300" w:lineRule="exact"/>
              <w:rPr>
                <w:rFonts w:ascii="宋体" w:hAnsi="宋体"/>
                <w:bCs/>
              </w:rPr>
            </w:pPr>
          </w:p>
        </w:tc>
        <w:tc>
          <w:tcPr>
            <w:tcW w:w="1320" w:type="dxa"/>
          </w:tcPr>
          <w:p w14:paraId="35A7893F">
            <w:pPr>
              <w:spacing w:line="300" w:lineRule="exact"/>
              <w:rPr>
                <w:rFonts w:ascii="宋体" w:hAnsi="宋体"/>
                <w:bCs/>
              </w:rPr>
            </w:pPr>
            <w:r>
              <w:rPr>
                <w:rFonts w:ascii="宋体" w:hAnsi="宋体"/>
                <w:bCs/>
              </w:rPr>
              <w:t>S/C Date:</w:t>
            </w:r>
          </w:p>
        </w:tc>
        <w:tc>
          <w:tcPr>
            <w:tcW w:w="1602" w:type="dxa"/>
            <w:tcMar>
              <w:left w:w="57" w:type="dxa"/>
              <w:right w:w="57" w:type="dxa"/>
            </w:tcMar>
          </w:tcPr>
          <w:p w14:paraId="2706C03D">
            <w:pPr>
              <w:spacing w:line="300" w:lineRule="exact"/>
              <w:rPr>
                <w:rFonts w:ascii="宋体" w:hAnsi="宋体"/>
                <w:bCs/>
              </w:rPr>
            </w:pPr>
          </w:p>
        </w:tc>
      </w:tr>
      <w:tr w14:paraId="0F71B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861" w:type="dxa"/>
          </w:tcPr>
          <w:p w14:paraId="12575CBC">
            <w:pPr>
              <w:snapToGrid w:val="0"/>
              <w:spacing w:line="300" w:lineRule="exact"/>
              <w:rPr>
                <w:rFonts w:ascii="宋体" w:hAnsi="宋体"/>
                <w:bCs/>
              </w:rPr>
            </w:pPr>
            <w:r>
              <w:rPr>
                <w:rFonts w:ascii="宋体" w:hAnsi="宋体"/>
                <w:bCs/>
              </w:rPr>
              <w:t>From:</w:t>
            </w:r>
          </w:p>
        </w:tc>
        <w:tc>
          <w:tcPr>
            <w:tcW w:w="3358" w:type="dxa"/>
            <w:gridSpan w:val="2"/>
          </w:tcPr>
          <w:p w14:paraId="075073C3">
            <w:pPr>
              <w:spacing w:line="300" w:lineRule="exact"/>
              <w:rPr>
                <w:rFonts w:ascii="宋体" w:hAnsi="宋体"/>
                <w:bCs/>
              </w:rPr>
            </w:pPr>
          </w:p>
        </w:tc>
        <w:tc>
          <w:tcPr>
            <w:tcW w:w="977" w:type="dxa"/>
            <w:tcMar>
              <w:left w:w="113" w:type="dxa"/>
            </w:tcMar>
          </w:tcPr>
          <w:p w14:paraId="586555FA">
            <w:pPr>
              <w:spacing w:line="300" w:lineRule="exact"/>
              <w:ind w:left="-40" w:leftChars="-19" w:right="-57" w:rightChars="-27"/>
              <w:rPr>
                <w:rFonts w:ascii="宋体" w:hAnsi="宋体"/>
                <w:bCs/>
              </w:rPr>
            </w:pPr>
            <w:r>
              <w:rPr>
                <w:rFonts w:ascii="宋体" w:hAnsi="宋体"/>
                <w:bCs/>
              </w:rPr>
              <w:t xml:space="preserve">To: </w:t>
            </w:r>
          </w:p>
        </w:tc>
        <w:tc>
          <w:tcPr>
            <w:tcW w:w="2922" w:type="dxa"/>
            <w:gridSpan w:val="2"/>
            <w:tcMar>
              <w:left w:w="57" w:type="dxa"/>
              <w:right w:w="57" w:type="dxa"/>
            </w:tcMar>
          </w:tcPr>
          <w:p w14:paraId="308F2D04">
            <w:pPr>
              <w:spacing w:line="300" w:lineRule="exact"/>
              <w:rPr>
                <w:rFonts w:ascii="宋体" w:hAnsi="宋体"/>
                <w:bCs/>
              </w:rPr>
            </w:pPr>
          </w:p>
        </w:tc>
      </w:tr>
      <w:tr w14:paraId="016A0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260" w:hRule="atLeast"/>
          <w:jc w:val="center"/>
        </w:trPr>
        <w:tc>
          <w:tcPr>
            <w:tcW w:w="1355" w:type="dxa"/>
            <w:gridSpan w:val="2"/>
          </w:tcPr>
          <w:p w14:paraId="1B61E75D">
            <w:pPr>
              <w:spacing w:line="300" w:lineRule="exact"/>
              <w:rPr>
                <w:rFonts w:ascii="宋体" w:hAnsi="宋体"/>
                <w:bCs/>
              </w:rPr>
            </w:pPr>
            <w:r>
              <w:rPr>
                <w:rFonts w:ascii="宋体" w:hAnsi="宋体"/>
                <w:bCs/>
              </w:rPr>
              <w:t>L/C No.:</w:t>
            </w:r>
          </w:p>
        </w:tc>
        <w:tc>
          <w:tcPr>
            <w:tcW w:w="2864" w:type="dxa"/>
          </w:tcPr>
          <w:p w14:paraId="742DD207">
            <w:pPr>
              <w:spacing w:line="300" w:lineRule="exact"/>
              <w:rPr>
                <w:rFonts w:ascii="宋体" w:hAnsi="宋体"/>
                <w:bCs/>
              </w:rPr>
            </w:pPr>
          </w:p>
        </w:tc>
        <w:tc>
          <w:tcPr>
            <w:tcW w:w="977" w:type="dxa"/>
            <w:vMerge w:val="restart"/>
            <w:tcMar>
              <w:left w:w="113" w:type="dxa"/>
            </w:tcMar>
            <w:vAlign w:val="center"/>
          </w:tcPr>
          <w:p w14:paraId="113E2A60">
            <w:pPr>
              <w:spacing w:line="300" w:lineRule="exact"/>
              <w:ind w:left="-40" w:leftChars="-19" w:right="-57" w:rightChars="-27"/>
              <w:jc w:val="center"/>
              <w:rPr>
                <w:rFonts w:ascii="宋体" w:hAnsi="宋体"/>
                <w:bCs/>
              </w:rPr>
            </w:pPr>
            <w:r>
              <w:rPr>
                <w:rFonts w:ascii="宋体" w:hAnsi="宋体"/>
                <w:bCs/>
              </w:rPr>
              <w:t>Issued By:</w:t>
            </w:r>
          </w:p>
        </w:tc>
        <w:tc>
          <w:tcPr>
            <w:tcW w:w="2922" w:type="dxa"/>
            <w:gridSpan w:val="2"/>
            <w:vMerge w:val="restart"/>
            <w:tcMar>
              <w:left w:w="57" w:type="dxa"/>
              <w:right w:w="57" w:type="dxa"/>
            </w:tcMar>
          </w:tcPr>
          <w:p w14:paraId="1654C24E">
            <w:pPr>
              <w:spacing w:line="300" w:lineRule="exact"/>
              <w:rPr>
                <w:rFonts w:ascii="宋体" w:hAnsi="宋体"/>
                <w:bCs/>
              </w:rPr>
            </w:pPr>
          </w:p>
        </w:tc>
      </w:tr>
      <w:tr w14:paraId="632A8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jc w:val="center"/>
        </w:trPr>
        <w:tc>
          <w:tcPr>
            <w:tcW w:w="1355" w:type="dxa"/>
            <w:gridSpan w:val="2"/>
          </w:tcPr>
          <w:p w14:paraId="5999419E">
            <w:pPr>
              <w:spacing w:line="300" w:lineRule="exact"/>
              <w:rPr>
                <w:rFonts w:ascii="宋体" w:hAnsi="宋体"/>
                <w:bCs/>
              </w:rPr>
            </w:pPr>
            <w:r>
              <w:rPr>
                <w:rFonts w:ascii="宋体" w:hAnsi="宋体"/>
                <w:bCs/>
              </w:rPr>
              <w:t>Date of Issue:</w:t>
            </w:r>
          </w:p>
        </w:tc>
        <w:tc>
          <w:tcPr>
            <w:tcW w:w="2864" w:type="dxa"/>
          </w:tcPr>
          <w:p w14:paraId="0CC83FD5">
            <w:pPr>
              <w:spacing w:line="300" w:lineRule="exact"/>
              <w:rPr>
                <w:rFonts w:ascii="宋体" w:hAnsi="宋体"/>
                <w:bCs/>
              </w:rPr>
            </w:pPr>
          </w:p>
        </w:tc>
        <w:tc>
          <w:tcPr>
            <w:tcW w:w="977" w:type="dxa"/>
            <w:vMerge w:val="continue"/>
            <w:tcMar>
              <w:left w:w="113" w:type="dxa"/>
            </w:tcMar>
          </w:tcPr>
          <w:p w14:paraId="4342D3FB">
            <w:pPr>
              <w:pStyle w:val="2"/>
              <w:spacing w:before="0" w:after="0" w:line="300" w:lineRule="exact"/>
              <w:ind w:left="-40" w:leftChars="-19" w:right="-57" w:rightChars="-27"/>
              <w:rPr>
                <w:rFonts w:ascii="宋体" w:hAnsi="宋体"/>
                <w:b w:val="0"/>
                <w:bCs w:val="0"/>
                <w:kern w:val="2"/>
                <w:sz w:val="21"/>
                <w:szCs w:val="21"/>
              </w:rPr>
            </w:pPr>
          </w:p>
        </w:tc>
        <w:tc>
          <w:tcPr>
            <w:tcW w:w="2922" w:type="dxa"/>
            <w:gridSpan w:val="2"/>
            <w:vMerge w:val="continue"/>
            <w:tcMar>
              <w:left w:w="57" w:type="dxa"/>
              <w:right w:w="57" w:type="dxa"/>
            </w:tcMar>
          </w:tcPr>
          <w:p w14:paraId="6C9C56AA">
            <w:pPr>
              <w:spacing w:line="300" w:lineRule="exact"/>
              <w:rPr>
                <w:rFonts w:ascii="宋体" w:hAnsi="宋体"/>
                <w:bCs/>
              </w:rPr>
            </w:pPr>
          </w:p>
        </w:tc>
      </w:tr>
      <w:tr w14:paraId="4F2EF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1355" w:type="dxa"/>
            <w:gridSpan w:val="2"/>
          </w:tcPr>
          <w:p w14:paraId="0FF128E2">
            <w:pPr>
              <w:spacing w:line="300" w:lineRule="exact"/>
              <w:jc w:val="center"/>
              <w:rPr>
                <w:rFonts w:ascii="宋体" w:hAnsi="宋体"/>
                <w:bCs/>
              </w:rPr>
            </w:pPr>
            <w:r>
              <w:rPr>
                <w:rFonts w:ascii="宋体" w:hAnsi="宋体"/>
                <w:bCs/>
              </w:rPr>
              <w:t>Marks and Numbers</w:t>
            </w:r>
          </w:p>
        </w:tc>
        <w:tc>
          <w:tcPr>
            <w:tcW w:w="2864" w:type="dxa"/>
            <w:tcBorders>
              <w:bottom w:val="single" w:color="auto" w:sz="4" w:space="0"/>
            </w:tcBorders>
          </w:tcPr>
          <w:p w14:paraId="4B6140BE">
            <w:pPr>
              <w:pStyle w:val="4"/>
              <w:snapToGrid w:val="0"/>
              <w:spacing w:before="0" w:after="0" w:line="300" w:lineRule="exact"/>
              <w:jc w:val="center"/>
              <w:rPr>
                <w:rFonts w:ascii="宋体" w:hAnsi="宋体"/>
                <w:b w:val="0"/>
                <w:bCs w:val="0"/>
                <w:sz w:val="21"/>
                <w:szCs w:val="21"/>
              </w:rPr>
            </w:pPr>
            <w:r>
              <w:rPr>
                <w:rFonts w:ascii="宋体" w:hAnsi="宋体"/>
                <w:b w:val="0"/>
                <w:sz w:val="21"/>
                <w:szCs w:val="21"/>
              </w:rPr>
              <w:t>Number and kind of package</w:t>
            </w:r>
          </w:p>
          <w:p w14:paraId="4EADF418">
            <w:pPr>
              <w:snapToGrid w:val="0"/>
              <w:spacing w:line="300" w:lineRule="exact"/>
              <w:jc w:val="center"/>
              <w:rPr>
                <w:rFonts w:ascii="宋体" w:hAnsi="宋体"/>
                <w:bCs/>
              </w:rPr>
            </w:pPr>
            <w:r>
              <w:rPr>
                <w:rFonts w:ascii="宋体" w:hAnsi="宋体"/>
                <w:bCs/>
              </w:rPr>
              <w:t>Description of goods</w:t>
            </w:r>
          </w:p>
        </w:tc>
        <w:tc>
          <w:tcPr>
            <w:tcW w:w="977" w:type="dxa"/>
            <w:tcBorders>
              <w:bottom w:val="single" w:color="auto" w:sz="4" w:space="0"/>
            </w:tcBorders>
            <w:vAlign w:val="center"/>
          </w:tcPr>
          <w:p w14:paraId="6FC00EC8">
            <w:pPr>
              <w:snapToGrid w:val="0"/>
              <w:spacing w:line="300" w:lineRule="exact"/>
              <w:ind w:left="-40" w:leftChars="-19" w:right="-57" w:rightChars="-27"/>
              <w:jc w:val="center"/>
              <w:rPr>
                <w:rFonts w:ascii="宋体" w:hAnsi="宋体"/>
                <w:bCs/>
              </w:rPr>
            </w:pPr>
            <w:r>
              <w:rPr>
                <w:rFonts w:ascii="宋体" w:hAnsi="宋体"/>
                <w:bCs/>
              </w:rPr>
              <w:t>Quantity</w:t>
            </w:r>
          </w:p>
        </w:tc>
        <w:tc>
          <w:tcPr>
            <w:tcW w:w="1320" w:type="dxa"/>
            <w:tcBorders>
              <w:bottom w:val="single" w:color="auto" w:sz="4" w:space="0"/>
            </w:tcBorders>
            <w:vAlign w:val="center"/>
          </w:tcPr>
          <w:p w14:paraId="1CA5D390">
            <w:pPr>
              <w:snapToGrid w:val="0"/>
              <w:spacing w:line="300" w:lineRule="exact"/>
              <w:jc w:val="center"/>
              <w:rPr>
                <w:rFonts w:ascii="宋体" w:hAnsi="宋体"/>
                <w:bCs/>
              </w:rPr>
            </w:pPr>
            <w:r>
              <w:rPr>
                <w:rFonts w:ascii="宋体" w:hAnsi="宋体"/>
                <w:bCs/>
              </w:rPr>
              <w:t>Unit Price</w:t>
            </w:r>
          </w:p>
        </w:tc>
        <w:tc>
          <w:tcPr>
            <w:tcW w:w="1602" w:type="dxa"/>
            <w:tcBorders>
              <w:bottom w:val="single" w:color="auto" w:sz="4" w:space="0"/>
            </w:tcBorders>
            <w:vAlign w:val="center"/>
          </w:tcPr>
          <w:p w14:paraId="6CB4834F">
            <w:pPr>
              <w:snapToGrid w:val="0"/>
              <w:spacing w:line="300" w:lineRule="exact"/>
              <w:jc w:val="center"/>
              <w:rPr>
                <w:rFonts w:ascii="宋体" w:hAnsi="宋体"/>
                <w:bCs/>
              </w:rPr>
            </w:pPr>
            <w:r>
              <w:rPr>
                <w:rFonts w:ascii="宋体" w:hAnsi="宋体"/>
                <w:bCs/>
              </w:rPr>
              <w:t>Amount</w:t>
            </w:r>
          </w:p>
        </w:tc>
      </w:tr>
      <w:tr w14:paraId="04B30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319" w:hRule="atLeast"/>
          <w:jc w:val="center"/>
        </w:trPr>
        <w:tc>
          <w:tcPr>
            <w:tcW w:w="1355" w:type="dxa"/>
            <w:gridSpan w:val="2"/>
            <w:vMerge w:val="restart"/>
          </w:tcPr>
          <w:p w14:paraId="6D56250B">
            <w:pPr>
              <w:spacing w:line="300" w:lineRule="exact"/>
              <w:jc w:val="center"/>
              <w:rPr>
                <w:rFonts w:ascii="宋体" w:hAnsi="宋体"/>
                <w:bCs/>
              </w:rPr>
            </w:pPr>
          </w:p>
        </w:tc>
        <w:tc>
          <w:tcPr>
            <w:tcW w:w="2864" w:type="dxa"/>
            <w:tcBorders>
              <w:bottom w:val="nil"/>
            </w:tcBorders>
          </w:tcPr>
          <w:p w14:paraId="7975D41D">
            <w:pPr>
              <w:spacing w:line="300" w:lineRule="exact"/>
              <w:ind w:firstLine="2880"/>
              <w:rPr>
                <w:rFonts w:ascii="宋体" w:hAnsi="宋体"/>
                <w:bCs/>
              </w:rPr>
            </w:pPr>
          </w:p>
        </w:tc>
        <w:tc>
          <w:tcPr>
            <w:tcW w:w="977" w:type="dxa"/>
            <w:tcBorders>
              <w:bottom w:val="nil"/>
            </w:tcBorders>
          </w:tcPr>
          <w:p w14:paraId="0560E09F">
            <w:pPr>
              <w:spacing w:line="300" w:lineRule="exact"/>
              <w:ind w:firstLine="2880"/>
              <w:rPr>
                <w:rFonts w:ascii="宋体" w:hAnsi="宋体"/>
                <w:bCs/>
              </w:rPr>
            </w:pPr>
          </w:p>
        </w:tc>
        <w:tc>
          <w:tcPr>
            <w:tcW w:w="2922" w:type="dxa"/>
            <w:gridSpan w:val="2"/>
            <w:tcBorders>
              <w:bottom w:val="nil"/>
            </w:tcBorders>
          </w:tcPr>
          <w:p w14:paraId="37162985">
            <w:pPr>
              <w:adjustRightInd w:val="0"/>
              <w:snapToGrid w:val="0"/>
              <w:spacing w:line="300" w:lineRule="exact"/>
              <w:rPr>
                <w:rFonts w:ascii="宋体" w:hAnsi="宋体"/>
                <w:bCs/>
              </w:rPr>
            </w:pPr>
            <w:r>
              <w:rPr>
                <w:rFonts w:ascii="宋体" w:hAnsi="宋体"/>
                <w:bCs/>
              </w:rPr>
              <w:t xml:space="preserve"> </w:t>
            </w:r>
          </w:p>
        </w:tc>
      </w:tr>
      <w:tr w14:paraId="29D69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35" w:hRule="atLeast"/>
          <w:jc w:val="center"/>
        </w:trPr>
        <w:tc>
          <w:tcPr>
            <w:tcW w:w="1355" w:type="dxa"/>
            <w:gridSpan w:val="2"/>
            <w:vMerge w:val="continue"/>
          </w:tcPr>
          <w:p w14:paraId="11C17F61">
            <w:pPr>
              <w:snapToGrid w:val="0"/>
              <w:spacing w:line="300" w:lineRule="exact"/>
              <w:ind w:left="57" w:right="57"/>
              <w:rPr>
                <w:rFonts w:ascii="宋体" w:hAnsi="宋体"/>
                <w:bCs/>
              </w:rPr>
            </w:pPr>
          </w:p>
        </w:tc>
        <w:tc>
          <w:tcPr>
            <w:tcW w:w="2864" w:type="dxa"/>
            <w:tcBorders>
              <w:top w:val="nil"/>
            </w:tcBorders>
          </w:tcPr>
          <w:p w14:paraId="52BDB47E">
            <w:pPr>
              <w:spacing w:line="300" w:lineRule="exact"/>
              <w:rPr>
                <w:rFonts w:ascii="宋体" w:hAnsi="宋体"/>
                <w:bCs/>
              </w:rPr>
            </w:pPr>
          </w:p>
        </w:tc>
        <w:tc>
          <w:tcPr>
            <w:tcW w:w="977" w:type="dxa"/>
            <w:tcBorders>
              <w:top w:val="nil"/>
            </w:tcBorders>
          </w:tcPr>
          <w:p w14:paraId="784B7654">
            <w:pPr>
              <w:snapToGrid w:val="0"/>
              <w:spacing w:line="300" w:lineRule="exact"/>
              <w:ind w:left="-55" w:right="-43"/>
              <w:jc w:val="center"/>
              <w:rPr>
                <w:rFonts w:ascii="宋体" w:hAnsi="宋体"/>
                <w:bCs/>
              </w:rPr>
            </w:pPr>
          </w:p>
        </w:tc>
        <w:tc>
          <w:tcPr>
            <w:tcW w:w="1320" w:type="dxa"/>
            <w:tcBorders>
              <w:top w:val="nil"/>
            </w:tcBorders>
          </w:tcPr>
          <w:p w14:paraId="3D9F0691">
            <w:pPr>
              <w:adjustRightInd w:val="0"/>
              <w:snapToGrid w:val="0"/>
              <w:spacing w:line="300" w:lineRule="exact"/>
              <w:jc w:val="center"/>
              <w:rPr>
                <w:rFonts w:ascii="宋体" w:hAnsi="宋体"/>
                <w:bCs/>
              </w:rPr>
            </w:pPr>
          </w:p>
        </w:tc>
        <w:tc>
          <w:tcPr>
            <w:tcW w:w="1602" w:type="dxa"/>
            <w:tcBorders>
              <w:top w:val="nil"/>
            </w:tcBorders>
          </w:tcPr>
          <w:p w14:paraId="39717550">
            <w:pPr>
              <w:adjustRightInd w:val="0"/>
              <w:snapToGrid w:val="0"/>
              <w:spacing w:line="300" w:lineRule="exact"/>
              <w:jc w:val="center"/>
              <w:rPr>
                <w:rFonts w:ascii="宋体" w:hAnsi="宋体"/>
                <w:bCs/>
              </w:rPr>
            </w:pPr>
          </w:p>
        </w:tc>
      </w:tr>
      <w:tr w14:paraId="299C1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jc w:val="center"/>
        </w:trPr>
        <w:tc>
          <w:tcPr>
            <w:tcW w:w="4219" w:type="dxa"/>
            <w:gridSpan w:val="3"/>
          </w:tcPr>
          <w:p w14:paraId="5F809CDE">
            <w:pPr>
              <w:spacing w:line="300" w:lineRule="exact"/>
              <w:jc w:val="right"/>
              <w:rPr>
                <w:rFonts w:ascii="宋体" w:hAnsi="宋体"/>
                <w:bCs/>
              </w:rPr>
            </w:pPr>
            <w:r>
              <w:rPr>
                <w:rFonts w:ascii="宋体" w:hAnsi="宋体"/>
                <w:bCs/>
              </w:rPr>
              <w:t xml:space="preserve">TOTAL: </w:t>
            </w:r>
          </w:p>
        </w:tc>
        <w:tc>
          <w:tcPr>
            <w:tcW w:w="977" w:type="dxa"/>
          </w:tcPr>
          <w:p w14:paraId="27455652">
            <w:pPr>
              <w:pStyle w:val="4"/>
              <w:spacing w:before="0" w:after="0" w:line="300" w:lineRule="exact"/>
              <w:jc w:val="center"/>
              <w:rPr>
                <w:rFonts w:ascii="宋体" w:hAnsi="宋体"/>
                <w:b w:val="0"/>
                <w:bCs w:val="0"/>
                <w:sz w:val="21"/>
                <w:szCs w:val="21"/>
              </w:rPr>
            </w:pPr>
          </w:p>
        </w:tc>
        <w:tc>
          <w:tcPr>
            <w:tcW w:w="1320" w:type="dxa"/>
          </w:tcPr>
          <w:p w14:paraId="3477E1FA">
            <w:pPr>
              <w:snapToGrid w:val="0"/>
              <w:spacing w:line="300" w:lineRule="exact"/>
              <w:jc w:val="center"/>
              <w:rPr>
                <w:rFonts w:ascii="宋体" w:hAnsi="宋体"/>
                <w:bCs/>
              </w:rPr>
            </w:pPr>
          </w:p>
        </w:tc>
        <w:tc>
          <w:tcPr>
            <w:tcW w:w="1602" w:type="dxa"/>
          </w:tcPr>
          <w:p w14:paraId="55BC8213">
            <w:pPr>
              <w:snapToGrid w:val="0"/>
              <w:spacing w:line="300" w:lineRule="exact"/>
              <w:jc w:val="center"/>
              <w:rPr>
                <w:rFonts w:ascii="宋体" w:hAnsi="宋体"/>
                <w:bCs/>
              </w:rPr>
            </w:pPr>
          </w:p>
        </w:tc>
      </w:tr>
      <w:tr w14:paraId="268A4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 w:hRule="atLeast"/>
          <w:jc w:val="center"/>
        </w:trPr>
        <w:tc>
          <w:tcPr>
            <w:tcW w:w="1355" w:type="dxa"/>
            <w:gridSpan w:val="2"/>
          </w:tcPr>
          <w:p w14:paraId="5CE94BF1">
            <w:pPr>
              <w:spacing w:before="120" w:after="120" w:line="300" w:lineRule="exact"/>
              <w:jc w:val="right"/>
              <w:rPr>
                <w:rFonts w:ascii="宋体" w:hAnsi="宋体"/>
                <w:bCs/>
              </w:rPr>
            </w:pPr>
            <w:r>
              <w:rPr>
                <w:rFonts w:ascii="宋体" w:hAnsi="宋体"/>
                <w:bCs/>
              </w:rPr>
              <w:t xml:space="preserve">SAY TOTAL: </w:t>
            </w:r>
          </w:p>
        </w:tc>
        <w:tc>
          <w:tcPr>
            <w:tcW w:w="6763" w:type="dxa"/>
            <w:gridSpan w:val="4"/>
          </w:tcPr>
          <w:p w14:paraId="77286B5A">
            <w:pPr>
              <w:spacing w:before="120" w:after="120" w:line="300" w:lineRule="exact"/>
              <w:rPr>
                <w:rFonts w:ascii="宋体" w:hAnsi="宋体"/>
                <w:bCs/>
              </w:rPr>
            </w:pPr>
          </w:p>
        </w:tc>
      </w:tr>
      <w:tr w14:paraId="756B5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 w:hRule="atLeast"/>
          <w:jc w:val="center"/>
        </w:trPr>
        <w:tc>
          <w:tcPr>
            <w:tcW w:w="8118" w:type="dxa"/>
            <w:gridSpan w:val="6"/>
          </w:tcPr>
          <w:p w14:paraId="2242B838">
            <w:pPr>
              <w:snapToGrid w:val="0"/>
              <w:spacing w:line="300" w:lineRule="exact"/>
              <w:ind w:left="57" w:right="617"/>
              <w:jc w:val="center"/>
              <w:rPr>
                <w:rFonts w:ascii="宋体" w:hAnsi="宋体"/>
                <w:bCs/>
              </w:rPr>
            </w:pPr>
            <w:r>
              <w:rPr>
                <w:rFonts w:ascii="宋体" w:hAnsi="宋体"/>
                <w:bCs/>
              </w:rPr>
              <w:t xml:space="preserve">                           </w:t>
            </w:r>
          </w:p>
          <w:p w14:paraId="15696DA4">
            <w:pPr>
              <w:snapToGrid w:val="0"/>
              <w:spacing w:line="300" w:lineRule="exact"/>
              <w:ind w:left="57" w:right="617"/>
              <w:jc w:val="center"/>
              <w:rPr>
                <w:rFonts w:ascii="宋体" w:hAnsi="宋体"/>
                <w:bCs/>
              </w:rPr>
            </w:pPr>
          </w:p>
          <w:p w14:paraId="759E66C4">
            <w:pPr>
              <w:snapToGrid w:val="0"/>
              <w:spacing w:line="300" w:lineRule="exact"/>
              <w:ind w:left="57" w:right="617"/>
              <w:jc w:val="center"/>
              <w:rPr>
                <w:rFonts w:ascii="宋体" w:hAnsi="宋体"/>
                <w:bCs/>
              </w:rPr>
            </w:pPr>
          </w:p>
          <w:p w14:paraId="3AE72AF1">
            <w:pPr>
              <w:snapToGrid w:val="0"/>
              <w:spacing w:line="300" w:lineRule="exact"/>
              <w:ind w:left="57" w:right="617"/>
              <w:jc w:val="center"/>
              <w:rPr>
                <w:rFonts w:ascii="宋体" w:hAnsi="宋体"/>
                <w:bCs/>
              </w:rPr>
            </w:pPr>
          </w:p>
        </w:tc>
      </w:tr>
    </w:tbl>
    <w:p w14:paraId="30E972DC">
      <w:pPr>
        <w:spacing w:line="6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2.外贸履约问题解决方案设计</w:t>
      </w:r>
    </w:p>
    <w:p w14:paraId="2968A09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202</w:t>
      </w:r>
      <w:r>
        <w:rPr>
          <w:rFonts w:hint="eastAsia" w:ascii="仿宋_GB2312" w:hAnsi="仿宋_GB2312" w:eastAsia="仿宋_GB2312" w:cs="仿宋_GB2312"/>
          <w:b w:val="0"/>
          <w:bCs w:val="0"/>
          <w:sz w:val="32"/>
          <w:szCs w:val="32"/>
          <w:lang w:val="en-US" w:eastAsia="zh-CN"/>
        </w:rPr>
        <w:t>6</w:t>
      </w:r>
      <w:r>
        <w:rPr>
          <w:rFonts w:hint="eastAsia" w:ascii="仿宋_GB2312" w:hAnsi="仿宋_GB2312" w:eastAsia="仿宋_GB2312" w:cs="仿宋_GB2312"/>
          <w:b w:val="0"/>
          <w:bCs w:val="0"/>
          <w:sz w:val="32"/>
          <w:szCs w:val="32"/>
          <w:lang w:eastAsia="zh-CN"/>
        </w:rPr>
        <w:t>年</w:t>
      </w:r>
      <w:r>
        <w:rPr>
          <w:rFonts w:hint="eastAsia" w:ascii="仿宋_GB2312" w:hAnsi="仿宋_GB2312" w:eastAsia="仿宋_GB2312" w:cs="仿宋_GB2312"/>
          <w:b w:val="0"/>
          <w:bCs w:val="0"/>
          <w:sz w:val="32"/>
          <w:szCs w:val="32"/>
          <w:lang w:val="en-US" w:eastAsia="zh-CN"/>
        </w:rPr>
        <w:t>8</w:t>
      </w:r>
      <w:r>
        <w:rPr>
          <w:rFonts w:hint="eastAsia" w:ascii="仿宋_GB2312" w:hAnsi="仿宋_GB2312" w:eastAsia="仿宋_GB2312" w:cs="仿宋_GB2312"/>
          <w:b w:val="0"/>
          <w:bCs w:val="0"/>
          <w:sz w:val="32"/>
          <w:szCs w:val="32"/>
          <w:lang w:eastAsia="zh-CN"/>
        </w:rPr>
        <w:t>月，</w:t>
      </w:r>
      <w:r>
        <w:rPr>
          <w:rFonts w:hint="eastAsia" w:ascii="仿宋_GB2312" w:hAnsi="仿宋_GB2312" w:eastAsia="仿宋_GB2312" w:cs="仿宋_GB2312"/>
          <w:b w:val="0"/>
          <w:bCs w:val="0"/>
          <w:sz w:val="32"/>
          <w:szCs w:val="32"/>
          <w:lang w:val="en-US" w:eastAsia="zh-CN"/>
        </w:rPr>
        <w:t>博宇</w:t>
      </w:r>
      <w:r>
        <w:rPr>
          <w:rFonts w:hint="eastAsia" w:ascii="仿宋_GB2312" w:hAnsi="仿宋_GB2312" w:eastAsia="仿宋_GB2312" w:cs="仿宋_GB2312"/>
          <w:b w:val="0"/>
          <w:bCs w:val="0"/>
          <w:sz w:val="32"/>
          <w:szCs w:val="32"/>
          <w:lang w:eastAsia="zh-CN"/>
        </w:rPr>
        <w:t>进出</w:t>
      </w:r>
      <w:r>
        <w:rPr>
          <w:rFonts w:hint="eastAsia" w:ascii="仿宋_GB2312" w:hAnsi="仿宋_GB2312" w:eastAsia="仿宋_GB2312" w:cs="仿宋_GB2312"/>
          <w:sz w:val="32"/>
          <w:szCs w:val="32"/>
          <w:lang w:eastAsia="zh-CN"/>
        </w:rPr>
        <w:t>口有限</w:t>
      </w:r>
      <w:r>
        <w:rPr>
          <w:rFonts w:hint="eastAsia" w:ascii="仿宋_GB2312" w:hAnsi="仿宋_GB2312" w:eastAsia="仿宋_GB2312" w:cs="仿宋_GB2312"/>
          <w:b w:val="0"/>
          <w:bCs w:val="0"/>
          <w:sz w:val="32"/>
          <w:szCs w:val="32"/>
          <w:lang w:eastAsia="zh-CN"/>
        </w:rPr>
        <w:t>公司（以下简称</w:t>
      </w:r>
      <w:r>
        <w:rPr>
          <w:rFonts w:hint="eastAsia" w:ascii="仿宋_GB2312" w:hAnsi="仿宋_GB2312" w:eastAsia="仿宋_GB2312" w:cs="仿宋_GB2312"/>
          <w:b w:val="0"/>
          <w:bCs w:val="0"/>
          <w:sz w:val="32"/>
          <w:szCs w:val="32"/>
          <w:lang w:val="en-US" w:eastAsia="zh-CN"/>
        </w:rPr>
        <w:t>博宇公司</w:t>
      </w:r>
      <w:r>
        <w:rPr>
          <w:rFonts w:hint="eastAsia" w:ascii="仿宋_GB2312" w:hAnsi="仿宋_GB2312" w:eastAsia="仿宋_GB2312" w:cs="仿宋_GB2312"/>
          <w:b w:val="0"/>
          <w:bCs w:val="0"/>
          <w:sz w:val="32"/>
          <w:szCs w:val="32"/>
          <w:lang w:eastAsia="zh-CN"/>
        </w:rPr>
        <w:t>）与</w:t>
      </w:r>
      <w:r>
        <w:rPr>
          <w:rFonts w:hint="eastAsia" w:ascii="仿宋_GB2312" w:hAnsi="仿宋_GB2312" w:eastAsia="仿宋_GB2312" w:cs="仿宋_GB2312"/>
          <w:b w:val="0"/>
          <w:bCs w:val="0"/>
          <w:sz w:val="32"/>
          <w:szCs w:val="32"/>
          <w:lang w:val="en-US" w:eastAsia="zh-CN"/>
        </w:rPr>
        <w:t>新加坡</w:t>
      </w:r>
      <w:r>
        <w:rPr>
          <w:rFonts w:hint="eastAsia" w:ascii="仿宋_GB2312" w:hAnsi="仿宋_GB2312" w:eastAsia="仿宋_GB2312" w:cs="仿宋_GB2312"/>
          <w:b w:val="0"/>
          <w:bCs w:val="0"/>
          <w:sz w:val="32"/>
          <w:szCs w:val="32"/>
          <w:lang w:eastAsia="zh-CN"/>
        </w:rPr>
        <w:t>某公司订立</w:t>
      </w:r>
      <w:r>
        <w:rPr>
          <w:rFonts w:hint="eastAsia" w:ascii="仿宋_GB2312" w:hAnsi="仿宋_GB2312" w:eastAsia="仿宋_GB2312" w:cs="仿宋_GB2312"/>
          <w:b w:val="0"/>
          <w:bCs w:val="0"/>
          <w:sz w:val="32"/>
          <w:szCs w:val="32"/>
          <w:lang w:val="en-US" w:eastAsia="zh-CN"/>
        </w:rPr>
        <w:t>罗非鱼</w:t>
      </w:r>
      <w:r>
        <w:rPr>
          <w:rFonts w:hint="eastAsia" w:ascii="仿宋_GB2312" w:hAnsi="仿宋_GB2312" w:eastAsia="仿宋_GB2312" w:cs="仿宋_GB2312"/>
          <w:b w:val="0"/>
          <w:bCs w:val="0"/>
          <w:sz w:val="32"/>
          <w:szCs w:val="32"/>
          <w:lang w:eastAsia="zh-CN"/>
        </w:rPr>
        <w:t>的买卖合同，价值</w:t>
      </w:r>
      <w:r>
        <w:rPr>
          <w:rFonts w:hint="eastAsia" w:ascii="仿宋_GB2312" w:hAnsi="仿宋_GB2312" w:eastAsia="仿宋_GB2312" w:cs="仿宋_GB2312"/>
          <w:b w:val="0"/>
          <w:bCs w:val="0"/>
          <w:sz w:val="32"/>
          <w:szCs w:val="32"/>
          <w:lang w:val="en-US" w:eastAsia="zh-CN"/>
        </w:rPr>
        <w:t>6</w:t>
      </w:r>
      <w:r>
        <w:rPr>
          <w:rFonts w:hint="eastAsia" w:ascii="仿宋_GB2312" w:hAnsi="仿宋_GB2312" w:eastAsia="仿宋_GB2312" w:cs="仿宋_GB2312"/>
          <w:b w:val="0"/>
          <w:bCs w:val="0"/>
          <w:sz w:val="32"/>
          <w:szCs w:val="32"/>
          <w:lang w:eastAsia="zh-CN"/>
        </w:rPr>
        <w:t>万美元。使用的贸易术语为</w:t>
      </w:r>
      <w:r>
        <w:rPr>
          <w:rFonts w:hint="eastAsia" w:ascii="仿宋_GB2312" w:hAnsi="仿宋_GB2312" w:eastAsia="仿宋_GB2312" w:cs="仿宋_GB2312"/>
          <w:b w:val="0"/>
          <w:bCs w:val="0"/>
          <w:sz w:val="32"/>
          <w:szCs w:val="32"/>
          <w:lang w:val="en-US" w:eastAsia="zh-CN"/>
        </w:rPr>
        <w:t>CIF</w:t>
      </w:r>
      <w:r>
        <w:rPr>
          <w:rFonts w:hint="eastAsia" w:ascii="仿宋_GB2312" w:hAnsi="仿宋_GB2312" w:eastAsia="仿宋_GB2312" w:cs="仿宋_GB2312"/>
          <w:b w:val="0"/>
          <w:bCs w:val="0"/>
          <w:sz w:val="32"/>
          <w:szCs w:val="32"/>
          <w:lang w:eastAsia="zh-CN"/>
        </w:rPr>
        <w:t xml:space="preserve"> </w:t>
      </w:r>
      <w:r>
        <w:rPr>
          <w:rFonts w:hint="eastAsia" w:ascii="仿宋_GB2312" w:hAnsi="仿宋_GB2312" w:eastAsia="仿宋_GB2312" w:cs="仿宋_GB2312"/>
          <w:b w:val="0"/>
          <w:bCs w:val="0"/>
          <w:sz w:val="32"/>
          <w:szCs w:val="32"/>
          <w:lang w:val="en-US" w:eastAsia="zh-CN"/>
        </w:rPr>
        <w:t>Singapore</w:t>
      </w:r>
      <w:r>
        <w:rPr>
          <w:rFonts w:hint="eastAsia" w:ascii="仿宋_GB2312" w:hAnsi="仿宋_GB2312" w:eastAsia="仿宋_GB2312" w:cs="仿宋_GB2312"/>
          <w:b w:val="0"/>
          <w:bCs w:val="0"/>
          <w:sz w:val="32"/>
          <w:szCs w:val="32"/>
          <w:lang w:eastAsia="zh-CN"/>
        </w:rPr>
        <w:t>，运输方式为</w:t>
      </w:r>
      <w:r>
        <w:rPr>
          <w:rFonts w:hint="eastAsia" w:ascii="仿宋_GB2312" w:hAnsi="仿宋_GB2312" w:eastAsia="仿宋_GB2312" w:cs="仿宋_GB2312"/>
          <w:b w:val="0"/>
          <w:bCs w:val="0"/>
          <w:sz w:val="32"/>
          <w:szCs w:val="32"/>
          <w:lang w:val="en-US" w:eastAsia="zh-CN"/>
        </w:rPr>
        <w:t>海</w:t>
      </w:r>
      <w:r>
        <w:rPr>
          <w:rFonts w:hint="eastAsia" w:ascii="仿宋_GB2312" w:hAnsi="仿宋_GB2312" w:eastAsia="仿宋_GB2312" w:cs="仿宋_GB2312"/>
          <w:b w:val="0"/>
          <w:bCs w:val="0"/>
          <w:sz w:val="32"/>
          <w:szCs w:val="32"/>
          <w:lang w:eastAsia="zh-CN"/>
        </w:rPr>
        <w:t xml:space="preserve">运；支付方式为T/T </w:t>
      </w:r>
      <w:r>
        <w:rPr>
          <w:rFonts w:hint="eastAsia" w:ascii="仿宋_GB2312" w:hAnsi="仿宋_GB2312" w:eastAsia="仿宋_GB2312" w:cs="仿宋_GB2312"/>
          <w:b w:val="0"/>
          <w:bCs w:val="0"/>
          <w:sz w:val="32"/>
          <w:szCs w:val="32"/>
          <w:lang w:val="en-US" w:eastAsia="zh-CN"/>
        </w:rPr>
        <w:t>5</w:t>
      </w:r>
      <w:r>
        <w:rPr>
          <w:rFonts w:hint="eastAsia" w:ascii="仿宋_GB2312" w:hAnsi="仿宋_GB2312" w:eastAsia="仿宋_GB2312" w:cs="仿宋_GB2312"/>
          <w:b w:val="0"/>
          <w:bCs w:val="0"/>
          <w:sz w:val="32"/>
          <w:szCs w:val="32"/>
          <w:lang w:eastAsia="zh-CN"/>
        </w:rPr>
        <w:t xml:space="preserve">0% in advance and </w:t>
      </w:r>
      <w:r>
        <w:rPr>
          <w:rFonts w:hint="eastAsia" w:ascii="仿宋_GB2312" w:hAnsi="仿宋_GB2312" w:eastAsia="仿宋_GB2312" w:cs="仿宋_GB2312"/>
          <w:b w:val="0"/>
          <w:bCs w:val="0"/>
          <w:sz w:val="32"/>
          <w:szCs w:val="32"/>
          <w:lang w:val="en-US" w:eastAsia="zh-CN"/>
        </w:rPr>
        <w:t>5</w:t>
      </w:r>
      <w:r>
        <w:rPr>
          <w:rFonts w:hint="eastAsia" w:ascii="仿宋_GB2312" w:hAnsi="仿宋_GB2312" w:eastAsia="仿宋_GB2312" w:cs="仿宋_GB2312"/>
          <w:b w:val="0"/>
          <w:bCs w:val="0"/>
          <w:sz w:val="32"/>
          <w:szCs w:val="32"/>
          <w:lang w:eastAsia="zh-CN"/>
        </w:rPr>
        <w:t xml:space="preserve">0% within </w:t>
      </w:r>
      <w:r>
        <w:rPr>
          <w:rFonts w:hint="eastAsia" w:ascii="仿宋_GB2312" w:hAnsi="仿宋_GB2312" w:eastAsia="仿宋_GB2312" w:cs="仿宋_GB2312"/>
          <w:b w:val="0"/>
          <w:bCs w:val="0"/>
          <w:sz w:val="32"/>
          <w:szCs w:val="32"/>
          <w:lang w:val="en-US" w:eastAsia="zh-CN"/>
        </w:rPr>
        <w:t>5</w:t>
      </w:r>
      <w:r>
        <w:rPr>
          <w:rFonts w:hint="eastAsia" w:ascii="仿宋_GB2312" w:hAnsi="仿宋_GB2312" w:eastAsia="仿宋_GB2312" w:cs="仿宋_GB2312"/>
          <w:b w:val="0"/>
          <w:bCs w:val="0"/>
          <w:sz w:val="32"/>
          <w:szCs w:val="32"/>
          <w:lang w:eastAsia="zh-CN"/>
        </w:rPr>
        <w:t xml:space="preserve"> days after shipment date。签约后，</w:t>
      </w:r>
      <w:r>
        <w:rPr>
          <w:rFonts w:hint="eastAsia" w:ascii="仿宋_GB2312" w:hAnsi="仿宋_GB2312" w:eastAsia="仿宋_GB2312" w:cs="仿宋_GB2312"/>
          <w:b w:val="0"/>
          <w:bCs w:val="0"/>
          <w:sz w:val="32"/>
          <w:szCs w:val="32"/>
          <w:lang w:val="en-US" w:eastAsia="zh-CN"/>
        </w:rPr>
        <w:t>新加坡</w:t>
      </w:r>
      <w:r>
        <w:rPr>
          <w:rFonts w:hint="eastAsia" w:ascii="仿宋_GB2312" w:hAnsi="仿宋_GB2312" w:eastAsia="仿宋_GB2312" w:cs="仿宋_GB2312"/>
          <w:b w:val="0"/>
          <w:bCs w:val="0"/>
          <w:sz w:val="32"/>
          <w:szCs w:val="32"/>
          <w:lang w:eastAsia="zh-CN"/>
        </w:rPr>
        <w:t>进口商立即给出口商电汇了</w:t>
      </w:r>
      <w:r>
        <w:rPr>
          <w:rFonts w:hint="eastAsia" w:ascii="仿宋_GB2312" w:hAnsi="仿宋_GB2312" w:eastAsia="仿宋_GB2312" w:cs="仿宋_GB2312"/>
          <w:b w:val="0"/>
          <w:bCs w:val="0"/>
          <w:sz w:val="32"/>
          <w:szCs w:val="32"/>
          <w:lang w:val="en-US" w:eastAsia="zh-CN"/>
        </w:rPr>
        <w:t>3</w:t>
      </w:r>
      <w:r>
        <w:rPr>
          <w:rFonts w:hint="eastAsia" w:ascii="仿宋_GB2312" w:hAnsi="仿宋_GB2312" w:eastAsia="仿宋_GB2312" w:cs="仿宋_GB2312"/>
          <w:b w:val="0"/>
          <w:bCs w:val="0"/>
          <w:sz w:val="32"/>
          <w:szCs w:val="32"/>
          <w:lang w:eastAsia="zh-CN"/>
        </w:rPr>
        <w:t>万美金；</w:t>
      </w:r>
      <w:r>
        <w:rPr>
          <w:rFonts w:hint="eastAsia" w:ascii="仿宋_GB2312" w:hAnsi="仿宋_GB2312" w:eastAsia="仿宋_GB2312" w:cs="仿宋_GB2312"/>
          <w:b w:val="0"/>
          <w:bCs w:val="0"/>
          <w:sz w:val="32"/>
          <w:szCs w:val="32"/>
          <w:lang w:val="en-US" w:eastAsia="zh-CN"/>
        </w:rPr>
        <w:t>博宇公司</w:t>
      </w:r>
      <w:r>
        <w:rPr>
          <w:rFonts w:hint="eastAsia" w:ascii="仿宋_GB2312" w:hAnsi="仿宋_GB2312" w:eastAsia="仿宋_GB2312" w:cs="仿宋_GB2312"/>
          <w:b w:val="0"/>
          <w:bCs w:val="0"/>
          <w:sz w:val="32"/>
          <w:szCs w:val="32"/>
          <w:lang w:eastAsia="zh-CN"/>
        </w:rPr>
        <w:t>收到预付款后立即安排了货物的</w:t>
      </w:r>
      <w:r>
        <w:rPr>
          <w:rFonts w:hint="eastAsia" w:ascii="仿宋_GB2312" w:hAnsi="仿宋_GB2312" w:eastAsia="仿宋_GB2312" w:cs="仿宋_GB2312"/>
          <w:b w:val="0"/>
          <w:bCs w:val="0"/>
          <w:sz w:val="32"/>
          <w:szCs w:val="32"/>
          <w:lang w:val="en-US" w:eastAsia="zh-CN"/>
        </w:rPr>
        <w:t>海</w:t>
      </w:r>
      <w:r>
        <w:rPr>
          <w:rFonts w:hint="eastAsia" w:ascii="仿宋_GB2312" w:hAnsi="仿宋_GB2312" w:eastAsia="仿宋_GB2312" w:cs="仿宋_GB2312"/>
          <w:b w:val="0"/>
          <w:bCs w:val="0"/>
          <w:sz w:val="32"/>
          <w:szCs w:val="32"/>
          <w:lang w:eastAsia="zh-CN"/>
        </w:rPr>
        <w:t>运出口，备妥各种单据，并将</w:t>
      </w:r>
      <w:r>
        <w:rPr>
          <w:rFonts w:hint="eastAsia" w:ascii="仿宋_GB2312" w:hAnsi="仿宋_GB2312" w:eastAsia="仿宋_GB2312" w:cs="仿宋_GB2312"/>
          <w:b w:val="0"/>
          <w:bCs w:val="0"/>
          <w:sz w:val="32"/>
          <w:szCs w:val="32"/>
          <w:lang w:val="en-US" w:eastAsia="zh-CN"/>
        </w:rPr>
        <w:t>包括正本海运提单在内的全套</w:t>
      </w:r>
      <w:r>
        <w:rPr>
          <w:rFonts w:hint="eastAsia" w:ascii="仿宋_GB2312" w:hAnsi="仿宋_GB2312" w:eastAsia="仿宋_GB2312" w:cs="仿宋_GB2312"/>
          <w:b w:val="0"/>
          <w:bCs w:val="0"/>
          <w:sz w:val="32"/>
          <w:szCs w:val="32"/>
          <w:lang w:eastAsia="zh-CN"/>
        </w:rPr>
        <w:t>单据</w:t>
      </w:r>
      <w:r>
        <w:rPr>
          <w:rFonts w:hint="eastAsia" w:ascii="仿宋_GB2312" w:hAnsi="仿宋_GB2312" w:eastAsia="仿宋_GB2312" w:cs="仿宋_GB2312"/>
          <w:b w:val="0"/>
          <w:bCs w:val="0"/>
          <w:sz w:val="32"/>
          <w:szCs w:val="32"/>
          <w:lang w:val="en-US" w:eastAsia="zh-CN"/>
        </w:rPr>
        <w:t>通过DHL寄</w:t>
      </w:r>
      <w:r>
        <w:rPr>
          <w:rFonts w:hint="eastAsia" w:ascii="仿宋_GB2312" w:hAnsi="仿宋_GB2312" w:eastAsia="仿宋_GB2312" w:cs="仿宋_GB2312"/>
          <w:b w:val="0"/>
          <w:bCs w:val="0"/>
          <w:sz w:val="32"/>
          <w:szCs w:val="32"/>
          <w:lang w:eastAsia="zh-CN"/>
        </w:rPr>
        <w:t>给</w:t>
      </w:r>
      <w:r>
        <w:rPr>
          <w:rFonts w:hint="eastAsia" w:ascii="仿宋_GB2312" w:hAnsi="仿宋_GB2312" w:eastAsia="仿宋_GB2312" w:cs="仿宋_GB2312"/>
          <w:b w:val="0"/>
          <w:bCs w:val="0"/>
          <w:sz w:val="32"/>
          <w:szCs w:val="32"/>
          <w:lang w:val="en-US" w:eastAsia="zh-CN"/>
        </w:rPr>
        <w:t>买方</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单据汇出后要求</w:t>
      </w:r>
      <w:r>
        <w:rPr>
          <w:rFonts w:hint="eastAsia" w:ascii="仿宋_GB2312" w:hAnsi="仿宋_GB2312" w:eastAsia="仿宋_GB2312" w:cs="仿宋_GB2312"/>
          <w:b w:val="0"/>
          <w:bCs w:val="0"/>
          <w:sz w:val="32"/>
          <w:szCs w:val="32"/>
          <w:lang w:eastAsia="zh-CN"/>
        </w:rPr>
        <w:t>对方</w:t>
      </w:r>
      <w:r>
        <w:rPr>
          <w:rFonts w:hint="eastAsia" w:ascii="仿宋_GB2312" w:hAnsi="仿宋_GB2312" w:eastAsia="仿宋_GB2312" w:cs="仿宋_GB2312"/>
          <w:b w:val="0"/>
          <w:bCs w:val="0"/>
          <w:sz w:val="32"/>
          <w:szCs w:val="32"/>
          <w:lang w:val="en-US" w:eastAsia="zh-CN"/>
        </w:rPr>
        <w:t>按时</w:t>
      </w:r>
      <w:r>
        <w:rPr>
          <w:rFonts w:hint="eastAsia" w:ascii="仿宋_GB2312" w:hAnsi="仿宋_GB2312" w:eastAsia="仿宋_GB2312" w:cs="仿宋_GB2312"/>
          <w:b w:val="0"/>
          <w:bCs w:val="0"/>
          <w:sz w:val="32"/>
          <w:szCs w:val="32"/>
          <w:lang w:eastAsia="zh-CN"/>
        </w:rPr>
        <w:t>付清尾款，</w:t>
      </w:r>
      <w:r>
        <w:rPr>
          <w:rFonts w:hint="eastAsia" w:ascii="仿宋_GB2312" w:hAnsi="仿宋_GB2312" w:eastAsia="仿宋_GB2312" w:cs="仿宋_GB2312"/>
          <w:b w:val="0"/>
          <w:bCs w:val="0"/>
          <w:sz w:val="32"/>
          <w:szCs w:val="32"/>
          <w:lang w:val="en-US" w:eastAsia="zh-CN"/>
        </w:rPr>
        <w:t>但买方以资金周转出现困难为由，尾款迟迟没有支付</w:t>
      </w:r>
      <w:r>
        <w:rPr>
          <w:rFonts w:hint="eastAsia" w:ascii="仿宋_GB2312" w:hAnsi="仿宋_GB2312" w:eastAsia="仿宋_GB2312" w:cs="仿宋_GB2312"/>
          <w:b w:val="0"/>
          <w:bCs w:val="0"/>
          <w:sz w:val="32"/>
          <w:szCs w:val="32"/>
          <w:lang w:eastAsia="zh-CN"/>
        </w:rPr>
        <w:t>。</w:t>
      </w:r>
    </w:p>
    <w:p w14:paraId="46E3E5E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（1）请简单解释</w:t>
      </w:r>
      <w:r>
        <w:rPr>
          <w:rFonts w:hint="eastAsia" w:ascii="仿宋_GB2312" w:hAnsi="仿宋_GB2312" w:eastAsia="仿宋_GB2312" w:cs="仿宋_GB2312"/>
          <w:b w:val="0"/>
          <w:bCs w:val="0"/>
          <w:sz w:val="32"/>
          <w:szCs w:val="32"/>
          <w:lang w:val="en-US" w:eastAsia="zh-CN"/>
        </w:rPr>
        <w:t>CIF</w:t>
      </w:r>
      <w:r>
        <w:rPr>
          <w:rFonts w:hint="eastAsia" w:ascii="仿宋_GB2312" w:hAnsi="仿宋_GB2312" w:eastAsia="仿宋_GB2312" w:cs="仿宋_GB2312"/>
          <w:b w:val="0"/>
          <w:bCs w:val="0"/>
          <w:sz w:val="32"/>
          <w:szCs w:val="32"/>
          <w:lang w:eastAsia="zh-CN"/>
        </w:rPr>
        <w:t>贸易术语；</w:t>
      </w:r>
    </w:p>
    <w:p w14:paraId="4757939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（2）请指出</w:t>
      </w:r>
      <w:r>
        <w:rPr>
          <w:rFonts w:hint="eastAsia" w:ascii="仿宋_GB2312" w:hAnsi="仿宋_GB2312" w:eastAsia="仿宋_GB2312" w:cs="仿宋_GB2312"/>
          <w:b w:val="0"/>
          <w:bCs w:val="0"/>
          <w:sz w:val="32"/>
          <w:szCs w:val="32"/>
          <w:lang w:val="en-US" w:eastAsia="zh-CN"/>
        </w:rPr>
        <w:t>博宇公司</w:t>
      </w:r>
      <w:r>
        <w:rPr>
          <w:rFonts w:hint="eastAsia" w:ascii="仿宋_GB2312" w:hAnsi="仿宋_GB2312" w:eastAsia="仿宋_GB2312" w:cs="仿宋_GB2312"/>
          <w:b w:val="0"/>
          <w:bCs w:val="0"/>
          <w:sz w:val="32"/>
          <w:szCs w:val="32"/>
          <w:lang w:eastAsia="zh-CN"/>
        </w:rPr>
        <w:t>在该业务操作中存在的风险点；</w:t>
      </w:r>
    </w:p>
    <w:p w14:paraId="312FEC1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pPr>
      <w:r>
        <w:rPr>
          <w:rFonts w:hint="eastAsia" w:ascii="仿宋_GB2312" w:hAnsi="仿宋_GB2312" w:eastAsia="仿宋_GB2312" w:cs="仿宋_GB2312"/>
          <w:b w:val="0"/>
          <w:bCs w:val="0"/>
          <w:sz w:val="32"/>
          <w:szCs w:val="32"/>
          <w:lang w:eastAsia="zh-CN"/>
        </w:rPr>
        <w:t>（3）</w:t>
      </w:r>
      <w:r>
        <w:rPr>
          <w:rFonts w:hint="eastAsia" w:ascii="仿宋_GB2312" w:hAnsi="仿宋_GB2312" w:eastAsia="仿宋_GB2312" w:cs="仿宋_GB2312"/>
          <w:sz w:val="32"/>
          <w:szCs w:val="32"/>
        </w:rPr>
        <w:t>请写出该笔业务中应如何善后，今后该如何避免类似风险发生？</w:t>
      </w:r>
    </w:p>
    <w:bookmarkEnd w:id="2"/>
    <w:p w14:paraId="6CB82BC9">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（三）外贸B2C模块</w:t>
      </w:r>
    </w:p>
    <w:p w14:paraId="0E27305D">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选手以努力提升公司的投资回报率（ROI）为目标，以回合制竞争博弈为形式开展外贸B2C数据运营，在不断发展变化的市场环境中，对相关市场数据和公司运营结果数据进行挖掘与分析，完成产品开发、采购、产品上下架、定价、引流、物流配送、财务管理等各个运营环节的决策制定与实施，并且在逐次展开的回合中不断优化本公司的数据运营战略与决策。</w:t>
      </w:r>
    </w:p>
    <w:p w14:paraId="68B4ADD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背景资料：</w:t>
      </w:r>
    </w:p>
    <w:p w14:paraId="0760B51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销售平台：A平台（亚马逊），B平台（速卖通）</w:t>
      </w:r>
    </w:p>
    <w:p w14:paraId="5B2EBC5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sz w:val="32"/>
          <w:szCs w:val="32"/>
        </w:rPr>
        <w:t>销售品类：</w:t>
      </w:r>
      <w:r>
        <w:rPr>
          <w:rFonts w:hint="eastAsia" w:ascii="仿宋_GB2312" w:hAnsi="仿宋_GB2312" w:eastAsia="仿宋_GB2312" w:cs="仿宋_GB2312"/>
          <w:b w:val="0"/>
          <w:bCs w:val="0"/>
          <w:sz w:val="32"/>
          <w:szCs w:val="32"/>
          <w:lang w:val="en-US" w:eastAsia="zh-CN"/>
        </w:rPr>
        <w:t>男士外套</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太阳镜</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围巾</w:t>
      </w:r>
    </w:p>
    <w:p w14:paraId="6D4EA370">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回合数量：8个回合</w:t>
      </w:r>
    </w:p>
    <w:p w14:paraId="7D8D58D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初始资金：10-30万元</w:t>
      </w:r>
    </w:p>
    <w:p w14:paraId="239A4F6A">
      <w:pPr>
        <w:spacing w:line="6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1.创建公司</w:t>
      </w:r>
    </w:p>
    <w:p w14:paraId="1F95B97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公司已完成注册，无需选手自己创建。</w:t>
      </w:r>
    </w:p>
    <w:p w14:paraId="033ECFD5">
      <w:pPr>
        <w:spacing w:line="6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2.市场调研</w:t>
      </w:r>
    </w:p>
    <w:p w14:paraId="5F29C43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分析不同国家的消费者需求、汇率、外贸B2C平台政策、物流政策、竞品等各种市场环境，掌握市场需求和市场方向，制定经营策略。</w:t>
      </w:r>
    </w:p>
    <w:p w14:paraId="1B096C7A">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（1）环境数据</w:t>
      </w:r>
    </w:p>
    <w:p w14:paraId="563C5446">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了解市场环境、货币、税收以及融资等情况。分析市场快讯，了解外贸B2C的市场环境以及未来可能的变化趋势，捕捉商机，合理筹划运营决策，并把握不同国家市场规模和市场需求。了解外汇牌价与汇率走势。了解各项税收的征收标准、缴纳时间。了解中小企业信用贷款和应收账款质押贷款两种贷款方式的要求、发放时间、利率、还贷周期等信息。</w:t>
      </w:r>
    </w:p>
    <w:p w14:paraId="2BE944F6">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（2）市场前期调研</w:t>
      </w:r>
    </w:p>
    <w:p w14:paraId="3477CEE6">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访问外贸B2C平台的前端页面，调研在线平台所有在售商品的信息，包括商品标题、定价、好评分以及销售额排名等，改进销售策略。</w:t>
      </w:r>
    </w:p>
    <w:p w14:paraId="5CA053F9">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（3）外贸B2C平台</w:t>
      </w:r>
    </w:p>
    <w:p w14:paraId="20BAC49D">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了解各外贸B2C平台特点与政策，包括市场渗透率、热搜词排行、销售方案和费用、账期以及备货周期。了解各外贸B2C平台在不同国家的市场渗透率，分析不同国家消费者对不同平台的偏好程度。了解各外贸B2C平台中不同品类的热搜关键词排行榜，分析不同商品的需求情况。了解各外贸B2C平台的销售方案和费用明细，销售费用包含佣金和订阅费。了解费用金额、扣除的时间以及扣除的方式。分析不同平台之间的销售费用差异。了解各外贸B2C平台与卖家结算销售账款的周期和备货周期。如果卖家没有能够在备货期内及时完成发货，订单将自动取消，并对卖家评级产生不良影响。</w:t>
      </w:r>
    </w:p>
    <w:p w14:paraId="0D839C5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（4）仓储物流</w:t>
      </w:r>
    </w:p>
    <w:p w14:paraId="6E7FEF2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了解不同物流服务的时效与价格，国内仓与海外仓的收费计算方法。根据所售产品的特点以及物流服务的价格和时效性来选择合适的物流方式。了解物品计费重量（实际重量和体积重量）的计算方法，以及不同物流方式运送到不同国家的运费情况。可使用服务查询估算国际物流的运费。了解国内仓库的仓储费率以及库存商品清仓抛售价格的计算方法。了解不同国家的海外仓库和平台自建物流的政策，仓储费用、配送服务费用的计算方法。了解海外仓库存商品清仓抛售价格的计算方法。</w:t>
      </w:r>
    </w:p>
    <w:p w14:paraId="44BFF8AB">
      <w:pPr>
        <w:spacing w:line="6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3.采购管理</w:t>
      </w:r>
    </w:p>
    <w:p w14:paraId="502EC29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国内商品采购平台提供不少于500种商品，每款商品包括图片、价格、起订量、物流成本、包装、货描、品级等信息。在不同回合，商品的采购价格与供应量可能会发生动态变化。选手可综合各种数据测算性价比、进行选品，并制定采购计划。</w:t>
      </w:r>
    </w:p>
    <w:p w14:paraId="2185947F">
      <w:pPr>
        <w:spacing w:line="6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4.仓储管理</w:t>
      </w:r>
    </w:p>
    <w:p w14:paraId="498E3A9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查看库存商品清单，通过调仓计划将库存商品在不同的仓库之间进行调拨（包括本地仓与海外仓），调仓需要花费一定的时间周期来完成。可对库存商品进行清仓抛售以盘活资金。</w:t>
      </w:r>
    </w:p>
    <w:p w14:paraId="5019A30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（1）库存清单</w:t>
      </w:r>
    </w:p>
    <w:p w14:paraId="5E0BED7A">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查看商品在各个仓库详细的库存数量等信息。</w:t>
      </w:r>
    </w:p>
    <w:p w14:paraId="049A38E2">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（2）清仓抛售计划</w:t>
      </w:r>
    </w:p>
    <w:p w14:paraId="3479976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制定清仓抛售计划。</w:t>
      </w:r>
    </w:p>
    <w:p w14:paraId="3B8F4BC6">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（3）调仓计划</w:t>
      </w:r>
    </w:p>
    <w:p w14:paraId="6784F970">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建立海外仓，制定调仓计划，填写相关的调仓信息，对各商品在各个仓库的备货数量进行调拨。</w:t>
      </w:r>
    </w:p>
    <w:p w14:paraId="1D441AE5">
      <w:pPr>
        <w:spacing w:line="6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5.店铺运营</w:t>
      </w:r>
    </w:p>
    <w:p w14:paraId="735EBE26">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（1）创建店铺</w:t>
      </w:r>
    </w:p>
    <w:p w14:paraId="7DA2B04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选手可创建一个或者多个店铺。店铺一经创建，不予撤销。</w:t>
      </w:r>
    </w:p>
    <w:p w14:paraId="6CA537E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（2）商品管理</w:t>
      </w:r>
    </w:p>
    <w:p w14:paraId="2C46903D">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对商品进行管理操作，包括商品上下架、商品标题价格等编辑修改操作。进行商品上架操作时，撰写产品标题、核算产品成本、确定产品价格及折扣、设置产品上架量、选择物流方式及出库地点。</w:t>
      </w:r>
    </w:p>
    <w:p w14:paraId="5863A476">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发布商品（每回合每店铺发布新商品数量上限为50个，每回合每店铺在售商品数量上限为100个）</w:t>
      </w:r>
    </w:p>
    <w:p w14:paraId="70AA14D2">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①商品标题：撰写英文标题，包含商品的英文名称、产品特征（属性）等，展现商品特点，避免罗列和堆砌。</w:t>
      </w:r>
    </w:p>
    <w:p w14:paraId="6274054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②商品价格：确定商品价格，设置折扣，折扣后的价格即为商品的销售价格。</w:t>
      </w:r>
    </w:p>
    <w:p w14:paraId="1B6FBB4A">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③库存：选择发货仓库，并确定上架量。</w:t>
      </w:r>
    </w:p>
    <w:p w14:paraId="7BC3ABC0">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④物流：针对不同地区买家选择合适的物流方式，制定相应的运费策略。</w:t>
      </w:r>
    </w:p>
    <w:p w14:paraId="7107A4D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（3）营销推广</w:t>
      </w:r>
    </w:p>
    <w:p w14:paraId="627D94A0">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①平台营销工具</w:t>
      </w:r>
    </w:p>
    <w:p w14:paraId="4ADB124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通过平台营销工具制定商品引流决策，可对每一个上架商品设定单次点击价格和预算限额，并且充值店铺账户。</w:t>
      </w:r>
    </w:p>
    <w:p w14:paraId="69809E44">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②社交网络营销工具</w:t>
      </w:r>
    </w:p>
    <w:p w14:paraId="6B61D2BD">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通过社交网络营销工具制定商品引流决策，可为每一个上架商品选择软文广告或网红直播方式，选择对应地区和套餐。</w:t>
      </w:r>
    </w:p>
    <w:p w14:paraId="3F3F807B">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③展示设计</w:t>
      </w:r>
    </w:p>
    <w:p w14:paraId="308685F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通过展示设计提升商品的视觉吸引力，不同套餐对应不同成本和效果。</w:t>
      </w:r>
    </w:p>
    <w:p w14:paraId="6856FDD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（4）订单管理</w:t>
      </w:r>
    </w:p>
    <w:p w14:paraId="2295C46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查看历史订单的不同状态以及发货情况。</w:t>
      </w:r>
    </w:p>
    <w:p w14:paraId="156E8EB5">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订单的状态包括等待发货、已发货、已完成、未履行和退货。订单需要在备货期内完成发货，否则会形成未履行订单，已经产生的未履行订单在一段时间内都将影响该店铺商品的销售。</w:t>
      </w:r>
    </w:p>
    <w:p w14:paraId="5C4610AF">
      <w:pPr>
        <w:spacing w:line="6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6.财务管理</w:t>
      </w:r>
    </w:p>
    <w:p w14:paraId="1F22642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（1）资金</w:t>
      </w:r>
    </w:p>
    <w:p w14:paraId="62EA38FB">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查询当前回合所有支出和收入的项目明细及可使用资金。</w:t>
      </w:r>
    </w:p>
    <w:p w14:paraId="3737829B">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（2）贷款</w:t>
      </w:r>
    </w:p>
    <w:p w14:paraId="193C51A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可通过中小企业信用贷款、应收账款质押贷款两种方式进行融资。</w:t>
      </w:r>
    </w:p>
    <w:p w14:paraId="642359FD">
      <w:pPr>
        <w:spacing w:line="6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7.运营结果分析</w:t>
      </w:r>
    </w:p>
    <w:p w14:paraId="6C29E53E">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运营结果数据在每回合末动态产生，反映该回合的决策质量和成果，选手需要通过挖掘财务、订单、利润、库存四大类运营结果的关键数据，结合市场快讯、汇率、税收政策、仓储物流及海外仓信息、外贸B2C平台的政策、竞品信息等进行深入分析，制定企业运营战略及决策。</w:t>
      </w:r>
    </w:p>
    <w:p w14:paraId="6EBA7A81">
      <w:pPr>
        <w:numPr>
          <w:ilvl w:val="0"/>
          <w:numId w:val="1"/>
        </w:num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财务分析</w:t>
      </w:r>
    </w:p>
    <w:p w14:paraId="1B7A05F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①资产负债表</w:t>
      </w:r>
    </w:p>
    <w:p w14:paraId="075D555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分析资产负债表，了解企业在某个时间点的财务状况。主要包含了“资产”部分和“负债及所有者权益”部分。最终的投资回报率即取决于资产负债表中的“未分配利润”与“实收资本”的比值。</w:t>
      </w:r>
    </w:p>
    <w:p w14:paraId="447D8A36">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②利润表</w:t>
      </w:r>
    </w:p>
    <w:p w14:paraId="3F6B5034">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分析利润表，了解企业在一定期间的经营成果和盈利状况。通过对一定阶段的收入、费用、支出进行归类，深入分析企业的盈利状况。利润表中的“净利润”金额即为对应时间内资产负债表中的“未分配利润”金额。</w:t>
      </w:r>
    </w:p>
    <w:p w14:paraId="254F163A">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③现金流量表</w:t>
      </w:r>
    </w:p>
    <w:p w14:paraId="04CD885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分析现金流量表，了解公司在一定时期实际的现金流入和现金流出的情况，保证公司健康经营。如果在回合结束计算时现金余额小于0，则公司会破产。</w:t>
      </w:r>
    </w:p>
    <w:p w14:paraId="5B86B007">
      <w:pPr>
        <w:spacing w:line="600" w:lineRule="exact"/>
        <w:ind w:firstLine="640" w:firstLineChars="200"/>
      </w:pPr>
      <w:r>
        <w:rPr>
          <w:rFonts w:hint="eastAsia" w:ascii="仿宋_GB2312" w:hAnsi="仿宋_GB2312" w:eastAsia="仿宋_GB2312" w:cs="仿宋_GB2312"/>
          <w:sz w:val="32"/>
          <w:szCs w:val="32"/>
        </w:rPr>
        <w:t>④企业所得税纳税申报表</w:t>
      </w:r>
    </w:p>
    <w:p w14:paraId="6D96E2B4">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查看企业所得税缴纳情况，包括营业收入、营业外收入、营业支出、营业利润、应纳所得税额、税率、实际应缴纳所得税额以及实际已缴纳所得税额等。</w:t>
      </w:r>
    </w:p>
    <w:p w14:paraId="2CD4CA7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⑤店铺应收账款结算计划表</w:t>
      </w:r>
    </w:p>
    <w:p w14:paraId="0A64E4B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查看店铺应收账款结算计划表，了解公司所有经营店铺的应收账款结算情况。对照不同的结算周期查看具体的结算信息。在每个结算日期的明细中，查看该结算日期下结算订单的相关信息。</w:t>
      </w:r>
    </w:p>
    <w:p w14:paraId="14F2FA8E">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⑥贷款还款计划表</w:t>
      </w:r>
    </w:p>
    <w:p w14:paraId="0470CDB6">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查看贷款还款计划表，了解公司在各个还款周期的贷款与还款情况，包括当期本金、当期利息、管理费、当期应还款总额、剩余应还款总额以及还款状态等信息，合理规划资金使用。</w:t>
      </w:r>
    </w:p>
    <w:p w14:paraId="022C995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⑦物流服务费用结算计划表</w:t>
      </w:r>
    </w:p>
    <w:p w14:paraId="36CF289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查看物流服务费用结算计划表，了解各物流服务在不同回合周期的费用情况，估算公司需要缴纳的物流费用，做好资金管理。</w:t>
      </w:r>
    </w:p>
    <w:p w14:paraId="6A33FD34">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（2）订单分析</w:t>
      </w:r>
    </w:p>
    <w:p w14:paraId="503A854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从订单层面分析外贸B2C公司的运营成果。</w:t>
      </w:r>
    </w:p>
    <w:p w14:paraId="695F2FC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①订单收入</w:t>
      </w:r>
    </w:p>
    <w:p w14:paraId="466A3F80">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订单收入包括订单总收入、地区订单收入、店铺订单收入和商品订单收入。从公司、地区、店铺和商品这四个方面统计分析外贸B2C公司的订单收入情况。具体包括每个回合的订单数量、销售商品的收入、买家支付的运费以及订单总额，统计并分析公司在外贸B2C平台的总体销售业绩。</w:t>
      </w:r>
    </w:p>
    <w:p w14:paraId="7983379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②商品订单量排名</w:t>
      </w:r>
    </w:p>
    <w:p w14:paraId="00214E6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分析商品在外贸B2C平台中的订单量和对应排名，了解商品在该平台的销售和竞争情况。</w:t>
      </w:r>
    </w:p>
    <w:p w14:paraId="2532651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③商品流量和订单</w:t>
      </w:r>
    </w:p>
    <w:p w14:paraId="33927FE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对比分析商品的曝光量、浏览量、转化率和订单等关键数据，寻找商品运营中存在的具体问题，从商品选品、标题、定价、营销等方面不断优化运营策略。</w:t>
      </w:r>
    </w:p>
    <w:p w14:paraId="6367A25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④商品流量来源</w:t>
      </w:r>
    </w:p>
    <w:p w14:paraId="644576EA">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对比分析商品的不同流量来源，包括站内流量、平台营销工具流量、社交网络营销工具流量和店内流量，思考如何增加商品的流量，带动销售业绩。</w:t>
      </w:r>
    </w:p>
    <w:p w14:paraId="3B5F221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⑤店铺广告业绩</w:t>
      </w:r>
    </w:p>
    <w:p w14:paraId="4E229834">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通过分析广告业绩报表，了解商品广告的使用情况，优化广告投入决策，增加广告的精准度以及影响力，提高广告投入的回报率，提升销售业绩。</w:t>
      </w:r>
    </w:p>
    <w:p w14:paraId="444CAB0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（3）利润分析</w:t>
      </w:r>
    </w:p>
    <w:p w14:paraId="6E22047B">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从利润层面分析外贸B2C公司的运营情况，包括营业收入、地区销售利润、店铺销售利润和单个商品销售利润。通过运营过程中的具体收入、成本、毛利以及毛利率，分析盈利或亏损的原因。</w:t>
      </w:r>
    </w:p>
    <w:p w14:paraId="7B34A88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（4）库存分析</w:t>
      </w:r>
    </w:p>
    <w:p w14:paraId="70E9730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①库存清单</w:t>
      </w:r>
    </w:p>
    <w:p w14:paraId="4A193AE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查询过往回合的商品库存情况，包括国内仓和海外仓的库存明细。</w:t>
      </w:r>
    </w:p>
    <w:p w14:paraId="51CBB71A">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②发货信息</w:t>
      </w:r>
    </w:p>
    <w:p w14:paraId="7A653D8A">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分析各个平台的商品发货情况，包括订单的产生时间、最迟发货时间、订单数量、对应的出库地点、物流方式和实际发货时间等。查看订单的履行情况。</w:t>
      </w:r>
    </w:p>
    <w:p w14:paraId="3C22333B">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③库存动销率</w:t>
      </w:r>
    </w:p>
    <w:p w14:paraId="24CF49E9">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通过库存动销率分析和优化商品库存管理策略。</w:t>
      </w:r>
    </w:p>
    <w:p w14:paraId="4C3870CA">
      <w:pPr>
        <w:spacing w:line="6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8.日程表</w:t>
      </w:r>
    </w:p>
    <w:p w14:paraId="1D71CB2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查看日程表，明确具体费用的缴纳时间，规避破产的风险。在某回合结束时，如果可用现金低于0，公司将会立即破产且无法进入下一回合。在某回合开始时，如果可用现金低于0，公司将会濒临破产，在该回合结束之前，使资金转负为正，可避免公司破产。</w:t>
      </w:r>
    </w:p>
    <w:p w14:paraId="7DD643D5">
      <w:pPr>
        <w:numPr>
          <w:ilvl w:val="0"/>
          <w:numId w:val="2"/>
        </w:numPr>
        <w:snapToGrid w:val="0"/>
        <w:spacing w:line="560" w:lineRule="exact"/>
        <w:ind w:firstLine="640"/>
        <w:rPr>
          <w:rFonts w:ascii="黑体" w:hAnsi="黑体" w:eastAsia="黑体" w:cs="黑体"/>
          <w:kern w:val="0"/>
          <w:sz w:val="32"/>
          <w:szCs w:val="32"/>
        </w:rPr>
      </w:pPr>
      <w:r>
        <w:rPr>
          <w:rFonts w:hint="eastAsia" w:ascii="黑体" w:hAnsi="黑体" w:eastAsia="黑体" w:cs="黑体"/>
          <w:kern w:val="0"/>
          <w:sz w:val="32"/>
          <w:szCs w:val="32"/>
        </w:rPr>
        <w:t>成绩评定</w:t>
      </w:r>
    </w:p>
    <w:p w14:paraId="48D0324D">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成绩评定在公开、公平、公正、独立、透明的条件下进行，赛项最终得分按百分制计算。</w:t>
      </w:r>
    </w:p>
    <w:p w14:paraId="609958CE">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（一）评分标准</w:t>
      </w:r>
    </w:p>
    <w:p w14:paraId="4B66614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竞赛各模块评分标准如下：</w:t>
      </w:r>
    </w:p>
    <w:p w14:paraId="01709D9F">
      <w:pPr>
        <w:spacing w:line="6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1.外贸B2B模块</w:t>
      </w:r>
    </w:p>
    <w:tbl>
      <w:tblPr>
        <w:tblStyle w:val="16"/>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8"/>
        <w:gridCol w:w="1658"/>
        <w:gridCol w:w="4497"/>
        <w:gridCol w:w="704"/>
      </w:tblGrid>
      <w:tr w14:paraId="32E2E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358" w:type="dxa"/>
            <w:vAlign w:val="center"/>
          </w:tcPr>
          <w:p w14:paraId="3A7428A8">
            <w:pPr>
              <w:widowControl/>
              <w:jc w:val="center"/>
              <w:rPr>
                <w:rFonts w:ascii="宋体" w:hAnsi="宋体" w:cs="宋体"/>
                <w:b/>
                <w:kern w:val="0"/>
              </w:rPr>
            </w:pPr>
            <w:r>
              <w:rPr>
                <w:rFonts w:hint="eastAsia" w:ascii="宋体" w:hAnsi="宋体" w:cs="宋体"/>
                <w:b/>
                <w:kern w:val="0"/>
              </w:rPr>
              <w:t>项目</w:t>
            </w:r>
          </w:p>
        </w:tc>
        <w:tc>
          <w:tcPr>
            <w:tcW w:w="1658" w:type="dxa"/>
            <w:vAlign w:val="center"/>
          </w:tcPr>
          <w:p w14:paraId="72F98E68">
            <w:pPr>
              <w:widowControl/>
              <w:jc w:val="center"/>
              <w:rPr>
                <w:rFonts w:ascii="宋体" w:hAnsi="宋体" w:cs="宋体"/>
                <w:b/>
                <w:kern w:val="0"/>
              </w:rPr>
            </w:pPr>
            <w:r>
              <w:rPr>
                <w:rFonts w:hint="eastAsia" w:ascii="宋体" w:hAnsi="宋体" w:cs="宋体"/>
                <w:b/>
                <w:kern w:val="0"/>
              </w:rPr>
              <w:t>要素</w:t>
            </w:r>
          </w:p>
        </w:tc>
        <w:tc>
          <w:tcPr>
            <w:tcW w:w="4497" w:type="dxa"/>
            <w:vAlign w:val="center"/>
          </w:tcPr>
          <w:p w14:paraId="68559F82">
            <w:pPr>
              <w:widowControl/>
              <w:jc w:val="center"/>
              <w:rPr>
                <w:rFonts w:ascii="宋体" w:hAnsi="宋体" w:cs="宋体"/>
                <w:b/>
                <w:kern w:val="0"/>
              </w:rPr>
            </w:pPr>
            <w:r>
              <w:rPr>
                <w:rFonts w:hint="eastAsia" w:ascii="宋体" w:hAnsi="宋体" w:cs="宋体"/>
                <w:b/>
                <w:kern w:val="0"/>
              </w:rPr>
              <w:t>评分细则</w:t>
            </w:r>
          </w:p>
        </w:tc>
        <w:tc>
          <w:tcPr>
            <w:tcW w:w="704" w:type="dxa"/>
            <w:vAlign w:val="center"/>
          </w:tcPr>
          <w:p w14:paraId="45AA7B09">
            <w:pPr>
              <w:widowControl/>
              <w:jc w:val="center"/>
              <w:rPr>
                <w:rFonts w:ascii="宋体" w:hAnsi="宋体" w:cs="宋体"/>
                <w:b/>
                <w:kern w:val="0"/>
              </w:rPr>
            </w:pPr>
            <w:r>
              <w:rPr>
                <w:rFonts w:hint="eastAsia" w:ascii="宋体" w:hAnsi="宋体" w:cs="宋体"/>
                <w:b/>
                <w:kern w:val="0"/>
              </w:rPr>
              <w:t>分值</w:t>
            </w:r>
          </w:p>
        </w:tc>
      </w:tr>
      <w:tr w14:paraId="78EAD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restart"/>
            <w:vAlign w:val="center"/>
          </w:tcPr>
          <w:p w14:paraId="16EB9E2C">
            <w:pPr>
              <w:widowControl/>
              <w:jc w:val="center"/>
              <w:rPr>
                <w:rFonts w:ascii="宋体" w:hAnsi="宋体" w:cs="宋体"/>
                <w:kern w:val="0"/>
              </w:rPr>
            </w:pPr>
            <w:r>
              <w:rPr>
                <w:rFonts w:hint="eastAsia" w:ascii="宋体" w:hAnsi="宋体" w:cs="宋体"/>
                <w:kern w:val="0"/>
              </w:rPr>
              <w:t>业务推广</w:t>
            </w:r>
          </w:p>
          <w:p w14:paraId="3D7EB259">
            <w:pPr>
              <w:widowControl/>
              <w:jc w:val="center"/>
              <w:rPr>
                <w:rFonts w:ascii="宋体" w:hAnsi="宋体" w:cs="宋体"/>
                <w:kern w:val="0"/>
              </w:rPr>
            </w:pPr>
            <w:r>
              <w:rPr>
                <w:rFonts w:hint="eastAsia" w:ascii="宋体" w:hAnsi="宋体" w:cs="宋体"/>
                <w:kern w:val="0"/>
              </w:rPr>
              <w:t>（共2</w:t>
            </w:r>
            <w:r>
              <w:rPr>
                <w:rFonts w:ascii="宋体" w:hAnsi="宋体" w:cs="宋体"/>
                <w:kern w:val="0"/>
              </w:rPr>
              <w:t>.</w:t>
            </w:r>
            <w:r>
              <w:rPr>
                <w:rFonts w:hint="eastAsia" w:ascii="宋体" w:hAnsi="宋体" w:cs="宋体"/>
                <w:kern w:val="0"/>
              </w:rPr>
              <w:t>5分）</w:t>
            </w:r>
          </w:p>
        </w:tc>
        <w:tc>
          <w:tcPr>
            <w:tcW w:w="1658" w:type="dxa"/>
            <w:vMerge w:val="restart"/>
            <w:vAlign w:val="center"/>
          </w:tcPr>
          <w:p w14:paraId="365C7325">
            <w:pPr>
              <w:widowControl/>
              <w:jc w:val="center"/>
              <w:rPr>
                <w:rFonts w:ascii="宋体" w:hAnsi="宋体" w:cs="宋体"/>
                <w:kern w:val="0"/>
              </w:rPr>
            </w:pPr>
            <w:r>
              <w:rPr>
                <w:rFonts w:hint="eastAsia" w:ascii="宋体" w:hAnsi="宋体" w:cs="宋体"/>
                <w:kern w:val="0"/>
              </w:rPr>
              <w:t>建站管理</w:t>
            </w:r>
          </w:p>
        </w:tc>
        <w:tc>
          <w:tcPr>
            <w:tcW w:w="4497" w:type="dxa"/>
            <w:vAlign w:val="center"/>
          </w:tcPr>
          <w:p w14:paraId="530571F4">
            <w:pPr>
              <w:widowControl/>
              <w:rPr>
                <w:rFonts w:ascii="宋体" w:hAnsi="宋体" w:cs="宋体"/>
                <w:kern w:val="0"/>
              </w:rPr>
            </w:pPr>
            <w:r>
              <w:rPr>
                <w:rFonts w:hint="eastAsia" w:ascii="宋体" w:hAnsi="宋体" w:cs="宋体"/>
                <w:kern w:val="0"/>
              </w:rPr>
              <w:t>管理公司信息：</w:t>
            </w:r>
          </w:p>
          <w:p w14:paraId="6057FBB6">
            <w:pPr>
              <w:widowControl/>
              <w:rPr>
                <w:rFonts w:ascii="宋体" w:hAnsi="宋体" w:cs="宋体"/>
                <w:kern w:val="0"/>
              </w:rPr>
            </w:pPr>
            <w:r>
              <w:rPr>
                <w:rFonts w:hint="eastAsia" w:ascii="宋体" w:hAnsi="宋体" w:cs="宋体"/>
                <w:kern w:val="0"/>
              </w:rPr>
              <w:t>须完善公司信息，全部填写完整则得满分</w:t>
            </w:r>
            <w:r>
              <w:rPr>
                <w:rFonts w:ascii="宋体" w:hAnsi="宋体" w:cs="宋体"/>
                <w:kern w:val="0"/>
              </w:rPr>
              <w:t>0.2</w:t>
            </w:r>
            <w:r>
              <w:rPr>
                <w:rFonts w:hint="eastAsia" w:ascii="宋体" w:hAnsi="宋体" w:cs="宋体"/>
                <w:kern w:val="0"/>
              </w:rPr>
              <w:t>分，具体包括5个主营业务（每个0.0</w:t>
            </w:r>
            <w:r>
              <w:rPr>
                <w:rFonts w:ascii="宋体" w:hAnsi="宋体" w:cs="宋体"/>
                <w:kern w:val="0"/>
              </w:rPr>
              <w:t>1</w:t>
            </w:r>
            <w:r>
              <w:rPr>
                <w:rFonts w:hint="eastAsia" w:ascii="宋体" w:hAnsi="宋体" w:cs="宋体"/>
                <w:kern w:val="0"/>
              </w:rPr>
              <w:t>分）、10个更多经营产品（每个0.00</w:t>
            </w:r>
            <w:r>
              <w:rPr>
                <w:rFonts w:ascii="宋体" w:hAnsi="宋体" w:cs="宋体"/>
                <w:kern w:val="0"/>
              </w:rPr>
              <w:t>4</w:t>
            </w:r>
            <w:r>
              <w:rPr>
                <w:rFonts w:hint="eastAsia" w:ascii="宋体" w:hAnsi="宋体" w:cs="宋体"/>
                <w:kern w:val="0"/>
              </w:rPr>
              <w:t>分）、设置公司标志（0.0</w:t>
            </w:r>
            <w:r>
              <w:rPr>
                <w:rFonts w:ascii="宋体" w:hAnsi="宋体" w:cs="宋体"/>
                <w:kern w:val="0"/>
              </w:rPr>
              <w:t>22</w:t>
            </w:r>
            <w:r>
              <w:rPr>
                <w:rFonts w:hint="eastAsia" w:ascii="宋体" w:hAnsi="宋体" w:cs="宋体"/>
                <w:kern w:val="0"/>
              </w:rPr>
              <w:t>分）、设置3个公司形象展示图（每个0.0</w:t>
            </w:r>
            <w:r>
              <w:rPr>
                <w:rFonts w:ascii="宋体" w:hAnsi="宋体" w:cs="宋体"/>
                <w:kern w:val="0"/>
              </w:rPr>
              <w:t>22</w:t>
            </w:r>
            <w:r>
              <w:rPr>
                <w:rFonts w:hint="eastAsia" w:ascii="宋体" w:hAnsi="宋体" w:cs="宋体"/>
                <w:kern w:val="0"/>
              </w:rPr>
              <w:t>分）及公司详细信息的填写（0.0</w:t>
            </w:r>
            <w:r>
              <w:rPr>
                <w:rFonts w:ascii="宋体" w:hAnsi="宋体" w:cs="宋体"/>
                <w:kern w:val="0"/>
              </w:rPr>
              <w:t>22</w:t>
            </w:r>
            <w:r>
              <w:rPr>
                <w:rFonts w:hint="eastAsia" w:ascii="宋体" w:hAnsi="宋体" w:cs="宋体"/>
                <w:kern w:val="0"/>
              </w:rPr>
              <w:t>分）。</w:t>
            </w:r>
          </w:p>
        </w:tc>
        <w:tc>
          <w:tcPr>
            <w:tcW w:w="704" w:type="dxa"/>
            <w:vAlign w:val="center"/>
          </w:tcPr>
          <w:p w14:paraId="15A68772">
            <w:pPr>
              <w:widowControl/>
              <w:jc w:val="center"/>
              <w:rPr>
                <w:rFonts w:ascii="宋体" w:hAnsi="宋体" w:cs="宋体"/>
                <w:kern w:val="0"/>
              </w:rPr>
            </w:pPr>
            <w:r>
              <w:rPr>
                <w:rFonts w:hint="eastAsia" w:ascii="宋体" w:hAnsi="宋体" w:cs="宋体"/>
                <w:kern w:val="0"/>
              </w:rPr>
              <w:t>0.</w:t>
            </w:r>
            <w:r>
              <w:rPr>
                <w:rFonts w:ascii="宋体" w:hAnsi="宋体" w:cs="宋体"/>
                <w:kern w:val="0"/>
              </w:rPr>
              <w:t>2</w:t>
            </w:r>
          </w:p>
        </w:tc>
      </w:tr>
      <w:tr w14:paraId="0B175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vAlign w:val="center"/>
          </w:tcPr>
          <w:p w14:paraId="63849CDB">
            <w:pPr>
              <w:widowControl/>
              <w:jc w:val="center"/>
              <w:rPr>
                <w:rFonts w:ascii="宋体" w:hAnsi="宋体" w:cs="宋体"/>
                <w:kern w:val="0"/>
              </w:rPr>
            </w:pPr>
          </w:p>
        </w:tc>
        <w:tc>
          <w:tcPr>
            <w:tcW w:w="1658" w:type="dxa"/>
            <w:vMerge w:val="continue"/>
            <w:vAlign w:val="center"/>
          </w:tcPr>
          <w:p w14:paraId="572E1849">
            <w:pPr>
              <w:widowControl/>
              <w:jc w:val="center"/>
              <w:rPr>
                <w:rFonts w:ascii="宋体" w:hAnsi="宋体" w:cs="宋体"/>
                <w:kern w:val="0"/>
              </w:rPr>
            </w:pPr>
          </w:p>
        </w:tc>
        <w:tc>
          <w:tcPr>
            <w:tcW w:w="4497" w:type="dxa"/>
            <w:vAlign w:val="center"/>
          </w:tcPr>
          <w:p w14:paraId="5B1D39B1">
            <w:pPr>
              <w:widowControl/>
              <w:rPr>
                <w:rFonts w:ascii="宋体" w:hAnsi="宋体" w:cs="宋体"/>
                <w:kern w:val="0"/>
              </w:rPr>
            </w:pPr>
            <w:r>
              <w:rPr>
                <w:rFonts w:hint="eastAsia" w:ascii="宋体" w:hAnsi="宋体" w:cs="宋体"/>
                <w:kern w:val="0"/>
              </w:rPr>
              <w:t>完成A&amp;V认证得0.</w:t>
            </w:r>
            <w:r>
              <w:rPr>
                <w:rFonts w:ascii="宋体" w:hAnsi="宋体" w:cs="宋体"/>
                <w:kern w:val="0"/>
              </w:rPr>
              <w:t>05</w:t>
            </w:r>
            <w:r>
              <w:rPr>
                <w:rFonts w:hint="eastAsia" w:ascii="宋体" w:hAnsi="宋体" w:cs="宋体"/>
                <w:kern w:val="0"/>
              </w:rPr>
              <w:t>分。</w:t>
            </w:r>
          </w:p>
        </w:tc>
        <w:tc>
          <w:tcPr>
            <w:tcW w:w="704" w:type="dxa"/>
            <w:vAlign w:val="center"/>
          </w:tcPr>
          <w:p w14:paraId="5B149B24">
            <w:pPr>
              <w:widowControl/>
              <w:jc w:val="center"/>
              <w:rPr>
                <w:rFonts w:ascii="宋体" w:hAnsi="宋体" w:cs="宋体"/>
                <w:kern w:val="0"/>
              </w:rPr>
            </w:pPr>
            <w:r>
              <w:rPr>
                <w:rFonts w:hint="eastAsia" w:ascii="宋体" w:hAnsi="宋体" w:cs="宋体"/>
                <w:kern w:val="0"/>
              </w:rPr>
              <w:t>0.</w:t>
            </w:r>
            <w:r>
              <w:rPr>
                <w:rFonts w:ascii="宋体" w:hAnsi="宋体" w:cs="宋体"/>
                <w:kern w:val="0"/>
              </w:rPr>
              <w:t>05</w:t>
            </w:r>
          </w:p>
        </w:tc>
      </w:tr>
      <w:tr w14:paraId="69DAD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vAlign w:val="center"/>
          </w:tcPr>
          <w:p w14:paraId="6ED5B5EF">
            <w:pPr>
              <w:widowControl/>
              <w:jc w:val="center"/>
              <w:rPr>
                <w:rFonts w:ascii="宋体" w:hAnsi="宋体" w:cs="宋体"/>
                <w:kern w:val="0"/>
              </w:rPr>
            </w:pPr>
          </w:p>
        </w:tc>
        <w:tc>
          <w:tcPr>
            <w:tcW w:w="1658" w:type="dxa"/>
            <w:vMerge w:val="continue"/>
            <w:vAlign w:val="center"/>
          </w:tcPr>
          <w:p w14:paraId="208412DE">
            <w:pPr>
              <w:widowControl/>
              <w:jc w:val="center"/>
              <w:rPr>
                <w:rFonts w:ascii="宋体" w:hAnsi="宋体" w:cs="宋体"/>
                <w:kern w:val="0"/>
              </w:rPr>
            </w:pPr>
          </w:p>
        </w:tc>
        <w:tc>
          <w:tcPr>
            <w:tcW w:w="4497" w:type="dxa"/>
            <w:vAlign w:val="center"/>
          </w:tcPr>
          <w:p w14:paraId="6B3F3C49">
            <w:pPr>
              <w:widowControl/>
              <w:rPr>
                <w:rFonts w:ascii="宋体" w:hAnsi="宋体" w:cs="宋体"/>
                <w:kern w:val="0"/>
              </w:rPr>
            </w:pPr>
            <w:r>
              <w:rPr>
                <w:rFonts w:hint="eastAsia" w:ascii="宋体" w:hAnsi="宋体" w:cs="宋体"/>
                <w:kern w:val="0"/>
              </w:rPr>
              <w:t>加入金品诚企并完成管理能力评估得0.</w:t>
            </w:r>
            <w:r>
              <w:rPr>
                <w:rFonts w:ascii="宋体" w:hAnsi="宋体" w:cs="宋体"/>
                <w:kern w:val="0"/>
              </w:rPr>
              <w:t>05</w:t>
            </w:r>
            <w:r>
              <w:rPr>
                <w:rFonts w:hint="eastAsia" w:ascii="宋体" w:hAnsi="宋体" w:cs="宋体"/>
                <w:kern w:val="0"/>
              </w:rPr>
              <w:t>分。</w:t>
            </w:r>
          </w:p>
        </w:tc>
        <w:tc>
          <w:tcPr>
            <w:tcW w:w="704" w:type="dxa"/>
            <w:vAlign w:val="center"/>
          </w:tcPr>
          <w:p w14:paraId="2731F6F4">
            <w:pPr>
              <w:widowControl/>
              <w:jc w:val="center"/>
              <w:rPr>
                <w:rFonts w:ascii="宋体" w:hAnsi="宋体" w:cs="宋体"/>
                <w:kern w:val="0"/>
              </w:rPr>
            </w:pPr>
            <w:r>
              <w:rPr>
                <w:rFonts w:hint="eastAsia" w:ascii="宋体" w:hAnsi="宋体" w:cs="宋体"/>
                <w:kern w:val="0"/>
              </w:rPr>
              <w:t>0.</w:t>
            </w:r>
            <w:r>
              <w:rPr>
                <w:rFonts w:ascii="宋体" w:hAnsi="宋体" w:cs="宋体"/>
                <w:kern w:val="0"/>
              </w:rPr>
              <w:t>05</w:t>
            </w:r>
          </w:p>
        </w:tc>
      </w:tr>
      <w:tr w14:paraId="70717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vAlign w:val="center"/>
          </w:tcPr>
          <w:p w14:paraId="6BA05F20">
            <w:pPr>
              <w:widowControl/>
              <w:jc w:val="center"/>
              <w:rPr>
                <w:rFonts w:ascii="宋体" w:hAnsi="宋体" w:cs="宋体"/>
                <w:kern w:val="0"/>
              </w:rPr>
            </w:pPr>
          </w:p>
        </w:tc>
        <w:tc>
          <w:tcPr>
            <w:tcW w:w="1658" w:type="dxa"/>
            <w:vMerge w:val="continue"/>
            <w:vAlign w:val="center"/>
          </w:tcPr>
          <w:p w14:paraId="719C4378">
            <w:pPr>
              <w:widowControl/>
              <w:jc w:val="center"/>
              <w:rPr>
                <w:rFonts w:ascii="宋体" w:hAnsi="宋体" w:cs="宋体"/>
                <w:kern w:val="0"/>
              </w:rPr>
            </w:pPr>
          </w:p>
        </w:tc>
        <w:tc>
          <w:tcPr>
            <w:tcW w:w="4497" w:type="dxa"/>
            <w:vAlign w:val="center"/>
          </w:tcPr>
          <w:p w14:paraId="2C071EAC">
            <w:pPr>
              <w:widowControl/>
              <w:rPr>
                <w:rFonts w:ascii="宋体" w:hAnsi="宋体" w:cs="宋体"/>
                <w:kern w:val="0"/>
              </w:rPr>
            </w:pPr>
            <w:r>
              <w:rPr>
                <w:rFonts w:hint="eastAsia" w:ascii="宋体" w:hAnsi="宋体" w:cs="宋体"/>
                <w:kern w:val="0"/>
              </w:rPr>
              <w:t>完成店铺装修，包括更换主题和Banner，各0.</w:t>
            </w:r>
            <w:r>
              <w:rPr>
                <w:rFonts w:ascii="宋体" w:hAnsi="宋体" w:cs="宋体"/>
                <w:kern w:val="0"/>
              </w:rPr>
              <w:t>05</w:t>
            </w:r>
            <w:r>
              <w:rPr>
                <w:rFonts w:hint="eastAsia" w:ascii="宋体" w:hAnsi="宋体" w:cs="宋体"/>
                <w:kern w:val="0"/>
              </w:rPr>
              <w:t>分。</w:t>
            </w:r>
          </w:p>
        </w:tc>
        <w:tc>
          <w:tcPr>
            <w:tcW w:w="704" w:type="dxa"/>
            <w:vAlign w:val="center"/>
          </w:tcPr>
          <w:p w14:paraId="24834CC8">
            <w:pPr>
              <w:widowControl/>
              <w:jc w:val="center"/>
              <w:rPr>
                <w:rFonts w:ascii="宋体" w:hAnsi="宋体" w:cs="宋体"/>
                <w:kern w:val="0"/>
              </w:rPr>
            </w:pPr>
            <w:r>
              <w:rPr>
                <w:rFonts w:hint="eastAsia" w:ascii="宋体" w:hAnsi="宋体" w:cs="宋体"/>
                <w:kern w:val="0"/>
              </w:rPr>
              <w:t>0.</w:t>
            </w:r>
            <w:r>
              <w:rPr>
                <w:rFonts w:ascii="宋体" w:hAnsi="宋体" w:cs="宋体"/>
                <w:kern w:val="0"/>
              </w:rPr>
              <w:t>1</w:t>
            </w:r>
          </w:p>
        </w:tc>
      </w:tr>
      <w:tr w14:paraId="7F771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vAlign w:val="center"/>
          </w:tcPr>
          <w:p w14:paraId="0AD0F7B2">
            <w:pPr>
              <w:widowControl/>
              <w:jc w:val="center"/>
              <w:rPr>
                <w:rFonts w:ascii="宋体" w:hAnsi="宋体" w:cs="宋体"/>
                <w:kern w:val="0"/>
              </w:rPr>
            </w:pPr>
          </w:p>
        </w:tc>
        <w:tc>
          <w:tcPr>
            <w:tcW w:w="1658" w:type="dxa"/>
            <w:vMerge w:val="restart"/>
            <w:vAlign w:val="center"/>
          </w:tcPr>
          <w:p w14:paraId="1E70EC8D">
            <w:pPr>
              <w:widowControl/>
              <w:jc w:val="center"/>
              <w:rPr>
                <w:rFonts w:ascii="宋体" w:hAnsi="宋体" w:cs="宋体"/>
                <w:kern w:val="0"/>
              </w:rPr>
            </w:pPr>
            <w:r>
              <w:rPr>
                <w:rFonts w:hint="eastAsia" w:ascii="宋体" w:hAnsi="宋体" w:cs="宋体"/>
                <w:kern w:val="0"/>
              </w:rPr>
              <w:t>产品管理</w:t>
            </w:r>
          </w:p>
        </w:tc>
        <w:tc>
          <w:tcPr>
            <w:tcW w:w="4497" w:type="dxa"/>
            <w:vAlign w:val="center"/>
          </w:tcPr>
          <w:p w14:paraId="08298456">
            <w:pPr>
              <w:widowControl/>
              <w:rPr>
                <w:rFonts w:ascii="宋体" w:hAnsi="宋体" w:cs="宋体"/>
                <w:kern w:val="0"/>
              </w:rPr>
            </w:pPr>
            <w:r>
              <w:rPr>
                <w:rFonts w:hint="eastAsia" w:ascii="宋体" w:hAnsi="宋体" w:cs="宋体"/>
                <w:kern w:val="0"/>
              </w:rPr>
              <w:t>发布产品的数量，发布1个产品得0.</w:t>
            </w:r>
            <w:r>
              <w:rPr>
                <w:rFonts w:ascii="宋体" w:hAnsi="宋体" w:cs="宋体"/>
                <w:kern w:val="0"/>
              </w:rPr>
              <w:t>1</w:t>
            </w:r>
            <w:r>
              <w:rPr>
                <w:rFonts w:hint="eastAsia" w:ascii="宋体" w:hAnsi="宋体" w:cs="宋体"/>
                <w:kern w:val="0"/>
              </w:rPr>
              <w:t>分，5个满分。</w:t>
            </w:r>
          </w:p>
        </w:tc>
        <w:tc>
          <w:tcPr>
            <w:tcW w:w="704" w:type="dxa"/>
            <w:vAlign w:val="center"/>
          </w:tcPr>
          <w:p w14:paraId="221D7447">
            <w:pPr>
              <w:widowControl/>
              <w:jc w:val="center"/>
              <w:rPr>
                <w:rFonts w:ascii="宋体" w:hAnsi="宋体" w:cs="宋体"/>
                <w:kern w:val="0"/>
              </w:rPr>
            </w:pPr>
            <w:r>
              <w:rPr>
                <w:rFonts w:ascii="宋体" w:hAnsi="宋体" w:cs="宋体"/>
                <w:kern w:val="0"/>
              </w:rPr>
              <w:t>0.5</w:t>
            </w:r>
          </w:p>
        </w:tc>
      </w:tr>
      <w:tr w14:paraId="1BBAE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vAlign w:val="center"/>
          </w:tcPr>
          <w:p w14:paraId="3CF24B91">
            <w:pPr>
              <w:widowControl/>
              <w:jc w:val="center"/>
              <w:rPr>
                <w:rFonts w:ascii="宋体" w:hAnsi="宋体" w:cs="宋体"/>
                <w:kern w:val="0"/>
              </w:rPr>
            </w:pPr>
          </w:p>
        </w:tc>
        <w:tc>
          <w:tcPr>
            <w:tcW w:w="1658" w:type="dxa"/>
            <w:vMerge w:val="continue"/>
            <w:vAlign w:val="center"/>
          </w:tcPr>
          <w:p w14:paraId="5800F022">
            <w:pPr>
              <w:widowControl/>
              <w:jc w:val="center"/>
              <w:rPr>
                <w:rFonts w:ascii="宋体" w:hAnsi="宋体" w:cs="宋体"/>
                <w:kern w:val="0"/>
              </w:rPr>
            </w:pPr>
          </w:p>
        </w:tc>
        <w:tc>
          <w:tcPr>
            <w:tcW w:w="4497" w:type="dxa"/>
            <w:vAlign w:val="center"/>
          </w:tcPr>
          <w:p w14:paraId="29FCC474">
            <w:pPr>
              <w:widowControl/>
              <w:rPr>
                <w:rFonts w:ascii="宋体" w:hAnsi="宋体" w:cs="宋体"/>
                <w:kern w:val="0"/>
              </w:rPr>
            </w:pPr>
            <w:r>
              <w:rPr>
                <w:rFonts w:hint="eastAsia" w:ascii="宋体" w:hAnsi="宋体" w:cs="宋体"/>
                <w:kern w:val="0"/>
              </w:rPr>
              <w:t>发布产品的质量，包括产品标题、关键词、产品图片、原产地等产品属性、物流信息（包括发货期、港口等）、产品详情等，此项得分取所有产品页面的平均分。</w:t>
            </w:r>
          </w:p>
        </w:tc>
        <w:tc>
          <w:tcPr>
            <w:tcW w:w="704" w:type="dxa"/>
            <w:vAlign w:val="center"/>
          </w:tcPr>
          <w:p w14:paraId="71CD3E42">
            <w:pPr>
              <w:widowControl/>
              <w:jc w:val="center"/>
              <w:rPr>
                <w:rFonts w:ascii="宋体" w:hAnsi="宋体" w:cs="宋体"/>
                <w:kern w:val="0"/>
              </w:rPr>
            </w:pPr>
            <w:r>
              <w:rPr>
                <w:rFonts w:ascii="宋体" w:hAnsi="宋体" w:cs="宋体"/>
                <w:kern w:val="0"/>
              </w:rPr>
              <w:t>0.5</w:t>
            </w:r>
          </w:p>
        </w:tc>
      </w:tr>
      <w:tr w14:paraId="6A6B0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vAlign w:val="center"/>
          </w:tcPr>
          <w:p w14:paraId="58401B25">
            <w:pPr>
              <w:widowControl/>
              <w:jc w:val="center"/>
              <w:rPr>
                <w:rFonts w:ascii="宋体" w:hAnsi="宋体" w:cs="宋体"/>
                <w:kern w:val="0"/>
              </w:rPr>
            </w:pPr>
          </w:p>
        </w:tc>
        <w:tc>
          <w:tcPr>
            <w:tcW w:w="1658" w:type="dxa"/>
            <w:vMerge w:val="continue"/>
            <w:vAlign w:val="center"/>
          </w:tcPr>
          <w:p w14:paraId="153791C5">
            <w:pPr>
              <w:widowControl/>
              <w:jc w:val="center"/>
              <w:rPr>
                <w:rFonts w:ascii="宋体" w:hAnsi="宋体" w:cs="宋体"/>
                <w:kern w:val="0"/>
              </w:rPr>
            </w:pPr>
          </w:p>
        </w:tc>
        <w:tc>
          <w:tcPr>
            <w:tcW w:w="4497" w:type="dxa"/>
            <w:vAlign w:val="center"/>
          </w:tcPr>
          <w:p w14:paraId="75E12CE5">
            <w:pPr>
              <w:widowControl/>
              <w:rPr>
                <w:rFonts w:ascii="宋体" w:hAnsi="宋体" w:cs="宋体"/>
                <w:kern w:val="0"/>
              </w:rPr>
            </w:pPr>
            <w:r>
              <w:rPr>
                <w:rFonts w:hint="eastAsia" w:ascii="宋体" w:hAnsi="宋体" w:cs="宋体"/>
                <w:kern w:val="0"/>
              </w:rPr>
              <w:t>认证商品个数，每个0.0</w:t>
            </w:r>
            <w:r>
              <w:rPr>
                <w:rFonts w:ascii="宋体" w:hAnsi="宋体" w:cs="宋体"/>
                <w:kern w:val="0"/>
              </w:rPr>
              <w:t>2</w:t>
            </w:r>
            <w:r>
              <w:rPr>
                <w:rFonts w:hint="eastAsia" w:ascii="宋体" w:hAnsi="宋体" w:cs="宋体"/>
                <w:kern w:val="0"/>
              </w:rPr>
              <w:t>分，5个得满分。</w:t>
            </w:r>
          </w:p>
        </w:tc>
        <w:tc>
          <w:tcPr>
            <w:tcW w:w="704" w:type="dxa"/>
            <w:vAlign w:val="center"/>
          </w:tcPr>
          <w:p w14:paraId="65AB2A38">
            <w:pPr>
              <w:widowControl/>
              <w:jc w:val="center"/>
              <w:rPr>
                <w:rFonts w:ascii="宋体" w:hAnsi="宋体" w:cs="宋体"/>
                <w:kern w:val="0"/>
              </w:rPr>
            </w:pPr>
            <w:r>
              <w:rPr>
                <w:rFonts w:hint="eastAsia" w:ascii="宋体" w:hAnsi="宋体" w:cs="宋体"/>
                <w:kern w:val="0"/>
              </w:rPr>
              <w:t>0.</w:t>
            </w:r>
            <w:r>
              <w:rPr>
                <w:rFonts w:ascii="宋体" w:hAnsi="宋体" w:cs="宋体"/>
                <w:kern w:val="0"/>
              </w:rPr>
              <w:t>1</w:t>
            </w:r>
          </w:p>
        </w:tc>
      </w:tr>
      <w:tr w14:paraId="330DE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vAlign w:val="center"/>
          </w:tcPr>
          <w:p w14:paraId="5DAFBCDF">
            <w:pPr>
              <w:widowControl/>
              <w:jc w:val="center"/>
              <w:rPr>
                <w:rFonts w:ascii="宋体" w:hAnsi="宋体" w:cs="宋体"/>
                <w:kern w:val="0"/>
              </w:rPr>
            </w:pPr>
          </w:p>
        </w:tc>
        <w:tc>
          <w:tcPr>
            <w:tcW w:w="1658" w:type="dxa"/>
            <w:vMerge w:val="continue"/>
            <w:vAlign w:val="center"/>
          </w:tcPr>
          <w:p w14:paraId="2409BCA2">
            <w:pPr>
              <w:widowControl/>
              <w:jc w:val="center"/>
              <w:rPr>
                <w:rFonts w:ascii="宋体" w:hAnsi="宋体" w:cs="宋体"/>
                <w:kern w:val="0"/>
              </w:rPr>
            </w:pPr>
          </w:p>
        </w:tc>
        <w:tc>
          <w:tcPr>
            <w:tcW w:w="4497" w:type="dxa"/>
            <w:vAlign w:val="center"/>
          </w:tcPr>
          <w:p w14:paraId="5AC56B4F">
            <w:pPr>
              <w:widowControl/>
              <w:rPr>
                <w:rFonts w:ascii="宋体" w:hAnsi="宋体" w:cs="宋体"/>
                <w:kern w:val="0"/>
              </w:rPr>
            </w:pPr>
            <w:r>
              <w:rPr>
                <w:rFonts w:hint="eastAsia" w:ascii="宋体" w:hAnsi="宋体" w:cs="宋体"/>
                <w:kern w:val="0"/>
              </w:rPr>
              <w:t>橱窗产品个数，每个0.0</w:t>
            </w:r>
            <w:r>
              <w:rPr>
                <w:rFonts w:ascii="宋体" w:hAnsi="宋体" w:cs="宋体"/>
                <w:kern w:val="0"/>
              </w:rPr>
              <w:t>2</w:t>
            </w:r>
            <w:r>
              <w:rPr>
                <w:rFonts w:hint="eastAsia" w:ascii="宋体" w:hAnsi="宋体" w:cs="宋体"/>
                <w:kern w:val="0"/>
              </w:rPr>
              <w:t>分，5个得满分。</w:t>
            </w:r>
          </w:p>
        </w:tc>
        <w:tc>
          <w:tcPr>
            <w:tcW w:w="704" w:type="dxa"/>
            <w:vAlign w:val="center"/>
          </w:tcPr>
          <w:p w14:paraId="2E512602">
            <w:pPr>
              <w:widowControl/>
              <w:jc w:val="center"/>
              <w:rPr>
                <w:rFonts w:ascii="宋体" w:hAnsi="宋体" w:cs="宋体"/>
                <w:kern w:val="0"/>
              </w:rPr>
            </w:pPr>
            <w:r>
              <w:rPr>
                <w:rFonts w:hint="eastAsia" w:ascii="宋体" w:hAnsi="宋体" w:cs="宋体"/>
                <w:kern w:val="0"/>
              </w:rPr>
              <w:t>0.</w:t>
            </w:r>
            <w:r>
              <w:rPr>
                <w:rFonts w:ascii="宋体" w:hAnsi="宋体" w:cs="宋体"/>
                <w:kern w:val="0"/>
              </w:rPr>
              <w:t>1</w:t>
            </w:r>
          </w:p>
        </w:tc>
      </w:tr>
      <w:tr w14:paraId="2BBB2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vAlign w:val="center"/>
          </w:tcPr>
          <w:p w14:paraId="5EA337B0">
            <w:pPr>
              <w:widowControl/>
              <w:jc w:val="center"/>
              <w:rPr>
                <w:rFonts w:ascii="宋体" w:hAnsi="宋体" w:cs="宋体"/>
                <w:kern w:val="0"/>
              </w:rPr>
            </w:pPr>
          </w:p>
        </w:tc>
        <w:tc>
          <w:tcPr>
            <w:tcW w:w="1658" w:type="dxa"/>
            <w:vMerge w:val="continue"/>
            <w:vAlign w:val="center"/>
          </w:tcPr>
          <w:p w14:paraId="74EC1445">
            <w:pPr>
              <w:widowControl/>
              <w:jc w:val="center"/>
              <w:rPr>
                <w:rFonts w:ascii="宋体" w:hAnsi="宋体" w:cs="宋体"/>
                <w:kern w:val="0"/>
              </w:rPr>
            </w:pPr>
          </w:p>
        </w:tc>
        <w:tc>
          <w:tcPr>
            <w:tcW w:w="4497" w:type="dxa"/>
            <w:vAlign w:val="center"/>
          </w:tcPr>
          <w:p w14:paraId="05EEE4C8">
            <w:pPr>
              <w:widowControl/>
              <w:rPr>
                <w:rFonts w:ascii="宋体" w:hAnsi="宋体" w:cs="宋体"/>
                <w:kern w:val="0"/>
              </w:rPr>
            </w:pPr>
            <w:r>
              <w:rPr>
                <w:rFonts w:hint="eastAsia" w:ascii="宋体" w:hAnsi="宋体" w:cs="宋体"/>
                <w:kern w:val="0"/>
              </w:rPr>
              <w:t>创建产品分组的个数，每创建一个一级分组得0.0</w:t>
            </w:r>
            <w:r>
              <w:rPr>
                <w:rFonts w:ascii="宋体" w:hAnsi="宋体" w:cs="宋体"/>
                <w:kern w:val="0"/>
              </w:rPr>
              <w:t>2</w:t>
            </w:r>
            <w:r>
              <w:rPr>
                <w:rFonts w:hint="eastAsia" w:ascii="宋体" w:hAnsi="宋体" w:cs="宋体"/>
                <w:kern w:val="0"/>
              </w:rPr>
              <w:t>分，5个得满分。</w:t>
            </w:r>
          </w:p>
        </w:tc>
        <w:tc>
          <w:tcPr>
            <w:tcW w:w="704" w:type="dxa"/>
            <w:vAlign w:val="center"/>
          </w:tcPr>
          <w:p w14:paraId="46746C92">
            <w:pPr>
              <w:widowControl/>
              <w:jc w:val="center"/>
              <w:rPr>
                <w:rFonts w:ascii="宋体" w:hAnsi="宋体" w:cs="宋体"/>
                <w:kern w:val="0"/>
              </w:rPr>
            </w:pPr>
            <w:r>
              <w:rPr>
                <w:rFonts w:hint="eastAsia" w:ascii="宋体" w:hAnsi="宋体" w:cs="宋体"/>
                <w:kern w:val="0"/>
              </w:rPr>
              <w:t>0.</w:t>
            </w:r>
            <w:r>
              <w:rPr>
                <w:rFonts w:ascii="宋体" w:hAnsi="宋体" w:cs="宋体"/>
                <w:kern w:val="0"/>
              </w:rPr>
              <w:t>1</w:t>
            </w:r>
          </w:p>
        </w:tc>
      </w:tr>
      <w:tr w14:paraId="55F33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vAlign w:val="center"/>
          </w:tcPr>
          <w:p w14:paraId="01531E57">
            <w:pPr>
              <w:widowControl/>
              <w:jc w:val="center"/>
              <w:rPr>
                <w:rFonts w:ascii="宋体" w:hAnsi="宋体" w:cs="宋体"/>
                <w:kern w:val="0"/>
              </w:rPr>
            </w:pPr>
          </w:p>
        </w:tc>
        <w:tc>
          <w:tcPr>
            <w:tcW w:w="1658" w:type="dxa"/>
            <w:vMerge w:val="restart"/>
            <w:vAlign w:val="center"/>
          </w:tcPr>
          <w:p w14:paraId="7DD324BC">
            <w:pPr>
              <w:widowControl/>
              <w:jc w:val="center"/>
              <w:rPr>
                <w:rFonts w:ascii="宋体" w:hAnsi="宋体" w:cs="宋体"/>
                <w:kern w:val="0"/>
              </w:rPr>
            </w:pPr>
            <w:r>
              <w:rPr>
                <w:rFonts w:hint="eastAsia" w:ascii="宋体" w:hAnsi="宋体" w:cs="宋体"/>
                <w:kern w:val="0"/>
              </w:rPr>
              <w:t>采购直达</w:t>
            </w:r>
          </w:p>
        </w:tc>
        <w:tc>
          <w:tcPr>
            <w:tcW w:w="4497" w:type="dxa"/>
            <w:vAlign w:val="center"/>
          </w:tcPr>
          <w:p w14:paraId="2F79B555">
            <w:pPr>
              <w:widowControl/>
              <w:rPr>
                <w:rFonts w:ascii="宋体" w:hAnsi="宋体" w:cs="宋体"/>
                <w:kern w:val="0"/>
              </w:rPr>
            </w:pPr>
            <w:r>
              <w:rPr>
                <w:rFonts w:hint="eastAsia" w:ascii="宋体" w:hAnsi="宋体" w:cs="宋体"/>
                <w:kern w:val="0"/>
              </w:rPr>
              <w:t>发布采购需求数量，每个0.0</w:t>
            </w:r>
            <w:r>
              <w:rPr>
                <w:rFonts w:ascii="宋体" w:hAnsi="宋体" w:cs="宋体"/>
                <w:kern w:val="0"/>
              </w:rPr>
              <w:t>2</w:t>
            </w:r>
            <w:r>
              <w:rPr>
                <w:rFonts w:hint="eastAsia" w:ascii="宋体" w:hAnsi="宋体" w:cs="宋体"/>
                <w:kern w:val="0"/>
              </w:rPr>
              <w:t>分，5个满分。</w:t>
            </w:r>
          </w:p>
        </w:tc>
        <w:tc>
          <w:tcPr>
            <w:tcW w:w="704" w:type="dxa"/>
            <w:vAlign w:val="center"/>
          </w:tcPr>
          <w:p w14:paraId="36DE2BA4">
            <w:pPr>
              <w:widowControl/>
              <w:jc w:val="center"/>
              <w:rPr>
                <w:rFonts w:ascii="宋体" w:hAnsi="宋体" w:cs="宋体"/>
                <w:kern w:val="0"/>
              </w:rPr>
            </w:pPr>
            <w:r>
              <w:rPr>
                <w:rFonts w:hint="eastAsia" w:ascii="宋体" w:hAnsi="宋体" w:cs="宋体"/>
                <w:kern w:val="0"/>
              </w:rPr>
              <w:t>0.</w:t>
            </w:r>
            <w:r>
              <w:rPr>
                <w:rFonts w:ascii="宋体" w:hAnsi="宋体" w:cs="宋体"/>
                <w:kern w:val="0"/>
              </w:rPr>
              <w:t>1</w:t>
            </w:r>
          </w:p>
        </w:tc>
      </w:tr>
      <w:tr w14:paraId="5A64D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vAlign w:val="center"/>
          </w:tcPr>
          <w:p w14:paraId="21E6C41A">
            <w:pPr>
              <w:widowControl/>
              <w:jc w:val="center"/>
              <w:rPr>
                <w:rFonts w:ascii="宋体" w:hAnsi="宋体" w:cs="宋体"/>
                <w:kern w:val="0"/>
              </w:rPr>
            </w:pPr>
          </w:p>
        </w:tc>
        <w:tc>
          <w:tcPr>
            <w:tcW w:w="1658" w:type="dxa"/>
            <w:vMerge w:val="continue"/>
            <w:vAlign w:val="center"/>
          </w:tcPr>
          <w:p w14:paraId="0E40D22C">
            <w:pPr>
              <w:widowControl/>
              <w:jc w:val="center"/>
              <w:rPr>
                <w:rFonts w:ascii="宋体" w:hAnsi="宋体" w:cs="宋体"/>
                <w:kern w:val="0"/>
              </w:rPr>
            </w:pPr>
          </w:p>
        </w:tc>
        <w:tc>
          <w:tcPr>
            <w:tcW w:w="4497" w:type="dxa"/>
            <w:vAlign w:val="center"/>
          </w:tcPr>
          <w:p w14:paraId="521F43B0">
            <w:pPr>
              <w:widowControl/>
              <w:rPr>
                <w:rFonts w:ascii="宋体" w:hAnsi="宋体" w:cs="宋体"/>
                <w:kern w:val="0"/>
              </w:rPr>
            </w:pPr>
            <w:r>
              <w:rPr>
                <w:rFonts w:hint="eastAsia" w:ascii="宋体" w:hAnsi="宋体" w:cs="宋体"/>
                <w:kern w:val="0"/>
              </w:rPr>
              <w:t>采购需求的内容，主要考察填写的完整性和正确性，此项得分取所有采购需求的平均分。</w:t>
            </w:r>
          </w:p>
        </w:tc>
        <w:tc>
          <w:tcPr>
            <w:tcW w:w="704" w:type="dxa"/>
            <w:vAlign w:val="center"/>
          </w:tcPr>
          <w:p w14:paraId="31B6D715">
            <w:pPr>
              <w:widowControl/>
              <w:jc w:val="center"/>
              <w:rPr>
                <w:rFonts w:ascii="宋体" w:hAnsi="宋体" w:cs="宋体"/>
                <w:kern w:val="0"/>
              </w:rPr>
            </w:pPr>
            <w:r>
              <w:rPr>
                <w:rFonts w:hint="eastAsia" w:ascii="宋体" w:hAnsi="宋体" w:cs="宋体"/>
                <w:kern w:val="0"/>
              </w:rPr>
              <w:t>0.</w:t>
            </w:r>
            <w:r>
              <w:rPr>
                <w:rFonts w:ascii="宋体" w:hAnsi="宋体" w:cs="宋体"/>
                <w:kern w:val="0"/>
              </w:rPr>
              <w:t>4</w:t>
            </w:r>
          </w:p>
        </w:tc>
      </w:tr>
      <w:tr w14:paraId="764E9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jc w:val="center"/>
        </w:trPr>
        <w:tc>
          <w:tcPr>
            <w:tcW w:w="1358" w:type="dxa"/>
            <w:vMerge w:val="continue"/>
            <w:vAlign w:val="center"/>
          </w:tcPr>
          <w:p w14:paraId="7F831982">
            <w:pPr>
              <w:widowControl/>
              <w:jc w:val="center"/>
              <w:rPr>
                <w:rFonts w:ascii="宋体" w:hAnsi="宋体" w:cs="宋体"/>
                <w:kern w:val="0"/>
              </w:rPr>
            </w:pPr>
          </w:p>
        </w:tc>
        <w:tc>
          <w:tcPr>
            <w:tcW w:w="1658" w:type="dxa"/>
            <w:vMerge w:val="restart"/>
            <w:vAlign w:val="center"/>
          </w:tcPr>
          <w:p w14:paraId="0C5991AD">
            <w:pPr>
              <w:widowControl/>
              <w:jc w:val="center"/>
              <w:rPr>
                <w:rFonts w:ascii="宋体" w:hAnsi="宋体" w:cs="宋体"/>
                <w:kern w:val="0"/>
              </w:rPr>
            </w:pPr>
            <w:r>
              <w:rPr>
                <w:rFonts w:hint="eastAsia" w:ascii="宋体" w:hAnsi="宋体" w:cs="宋体"/>
                <w:kern w:val="0"/>
              </w:rPr>
              <w:t>公司广告推广</w:t>
            </w:r>
          </w:p>
        </w:tc>
        <w:tc>
          <w:tcPr>
            <w:tcW w:w="4497" w:type="dxa"/>
            <w:vAlign w:val="center"/>
          </w:tcPr>
          <w:p w14:paraId="775670FB">
            <w:pPr>
              <w:widowControl/>
              <w:rPr>
                <w:rFonts w:ascii="宋体" w:hAnsi="宋体" w:cs="宋体"/>
                <w:kern w:val="0"/>
              </w:rPr>
            </w:pPr>
            <w:r>
              <w:rPr>
                <w:rFonts w:hint="eastAsia" w:ascii="宋体" w:hAnsi="宋体" w:cs="宋体"/>
                <w:kern w:val="0"/>
              </w:rPr>
              <w:t>发布公司广告的数量，每条0.</w:t>
            </w:r>
            <w:r>
              <w:rPr>
                <w:rFonts w:ascii="宋体" w:hAnsi="宋体" w:cs="宋体"/>
                <w:kern w:val="0"/>
              </w:rPr>
              <w:t>05</w:t>
            </w:r>
            <w:r>
              <w:rPr>
                <w:rFonts w:hint="eastAsia" w:ascii="宋体" w:hAnsi="宋体" w:cs="宋体"/>
                <w:kern w:val="0"/>
              </w:rPr>
              <w:t>分，3条满分。</w:t>
            </w:r>
          </w:p>
        </w:tc>
        <w:tc>
          <w:tcPr>
            <w:tcW w:w="704" w:type="dxa"/>
            <w:vAlign w:val="center"/>
          </w:tcPr>
          <w:p w14:paraId="2B72C30D">
            <w:pPr>
              <w:widowControl/>
              <w:jc w:val="center"/>
              <w:rPr>
                <w:rFonts w:ascii="宋体" w:hAnsi="宋体" w:cs="宋体"/>
                <w:kern w:val="0"/>
              </w:rPr>
            </w:pPr>
            <w:r>
              <w:rPr>
                <w:rFonts w:hint="eastAsia" w:ascii="宋体" w:hAnsi="宋体" w:cs="宋体"/>
                <w:kern w:val="0"/>
              </w:rPr>
              <w:t>0.</w:t>
            </w:r>
            <w:r>
              <w:rPr>
                <w:rFonts w:ascii="宋体" w:hAnsi="宋体" w:cs="宋体"/>
                <w:kern w:val="0"/>
              </w:rPr>
              <w:t>15</w:t>
            </w:r>
          </w:p>
        </w:tc>
      </w:tr>
      <w:tr w14:paraId="71C64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vAlign w:val="center"/>
          </w:tcPr>
          <w:p w14:paraId="66AEEBA5">
            <w:pPr>
              <w:widowControl/>
              <w:jc w:val="center"/>
              <w:rPr>
                <w:rFonts w:ascii="宋体" w:hAnsi="宋体" w:cs="宋体"/>
                <w:kern w:val="0"/>
              </w:rPr>
            </w:pPr>
          </w:p>
        </w:tc>
        <w:tc>
          <w:tcPr>
            <w:tcW w:w="1658" w:type="dxa"/>
            <w:vMerge w:val="continue"/>
            <w:vAlign w:val="center"/>
          </w:tcPr>
          <w:p w14:paraId="1A184C02">
            <w:pPr>
              <w:widowControl/>
              <w:jc w:val="center"/>
              <w:rPr>
                <w:rFonts w:ascii="宋体" w:hAnsi="宋体" w:cs="宋体"/>
                <w:kern w:val="0"/>
              </w:rPr>
            </w:pPr>
          </w:p>
        </w:tc>
        <w:tc>
          <w:tcPr>
            <w:tcW w:w="4497" w:type="dxa"/>
            <w:vAlign w:val="center"/>
          </w:tcPr>
          <w:p w14:paraId="63072CC9">
            <w:pPr>
              <w:widowControl/>
              <w:rPr>
                <w:rFonts w:ascii="宋体" w:hAnsi="宋体" w:cs="宋体"/>
                <w:kern w:val="0"/>
              </w:rPr>
            </w:pPr>
            <w:r>
              <w:rPr>
                <w:rFonts w:hint="eastAsia" w:ascii="宋体" w:hAnsi="宋体" w:cs="宋体"/>
                <w:kern w:val="0"/>
              </w:rPr>
              <w:t>发布公司广告的质量，标题和内容要求均为英文，能较好地展示公司，突出公司的主营产品等。此项得分取所有公司广告的平均分。</w:t>
            </w:r>
          </w:p>
        </w:tc>
        <w:tc>
          <w:tcPr>
            <w:tcW w:w="704" w:type="dxa"/>
            <w:vAlign w:val="center"/>
          </w:tcPr>
          <w:p w14:paraId="54A85C20">
            <w:pPr>
              <w:widowControl/>
              <w:jc w:val="center"/>
              <w:rPr>
                <w:rFonts w:ascii="宋体" w:hAnsi="宋体" w:cs="宋体"/>
                <w:kern w:val="0"/>
              </w:rPr>
            </w:pPr>
            <w:r>
              <w:rPr>
                <w:rFonts w:hint="eastAsia" w:ascii="宋体" w:hAnsi="宋体" w:cs="宋体"/>
                <w:kern w:val="0"/>
              </w:rPr>
              <w:t>0.</w:t>
            </w:r>
            <w:r>
              <w:rPr>
                <w:rFonts w:ascii="宋体" w:hAnsi="宋体" w:cs="宋体"/>
                <w:kern w:val="0"/>
              </w:rPr>
              <w:t>15</w:t>
            </w:r>
          </w:p>
        </w:tc>
      </w:tr>
      <w:tr w14:paraId="69D43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Align w:val="center"/>
          </w:tcPr>
          <w:p w14:paraId="755BF5BF">
            <w:pPr>
              <w:widowControl/>
              <w:jc w:val="center"/>
              <w:rPr>
                <w:rFonts w:ascii="宋体" w:hAnsi="宋体" w:cs="宋体"/>
                <w:kern w:val="0"/>
              </w:rPr>
            </w:pPr>
            <w:r>
              <w:rPr>
                <w:rFonts w:hint="eastAsia" w:ascii="宋体" w:hAnsi="宋体" w:cs="宋体"/>
                <w:kern w:val="0"/>
              </w:rPr>
              <w:t>寻找客户</w:t>
            </w:r>
          </w:p>
          <w:p w14:paraId="21A7FE94">
            <w:pPr>
              <w:widowControl/>
              <w:jc w:val="center"/>
              <w:rPr>
                <w:rFonts w:ascii="宋体" w:hAnsi="宋体" w:cs="宋体"/>
                <w:kern w:val="0"/>
              </w:rPr>
            </w:pPr>
            <w:r>
              <w:rPr>
                <w:rFonts w:hint="eastAsia" w:ascii="宋体" w:hAnsi="宋体" w:cs="宋体"/>
                <w:kern w:val="0"/>
              </w:rPr>
              <w:t>（共16分）</w:t>
            </w:r>
          </w:p>
        </w:tc>
        <w:tc>
          <w:tcPr>
            <w:tcW w:w="1658" w:type="dxa"/>
            <w:vAlign w:val="center"/>
          </w:tcPr>
          <w:p w14:paraId="6A77424F">
            <w:pPr>
              <w:widowControl/>
              <w:jc w:val="center"/>
              <w:rPr>
                <w:rFonts w:ascii="宋体" w:hAnsi="宋体" w:cs="宋体"/>
                <w:kern w:val="0"/>
              </w:rPr>
            </w:pPr>
            <w:r>
              <w:rPr>
                <w:rFonts w:hint="eastAsia" w:ascii="宋体" w:hAnsi="宋体" w:cs="宋体"/>
                <w:kern w:val="0"/>
              </w:rPr>
              <w:t>客户群的多样化</w:t>
            </w:r>
          </w:p>
        </w:tc>
        <w:tc>
          <w:tcPr>
            <w:tcW w:w="4497" w:type="dxa"/>
            <w:vAlign w:val="center"/>
          </w:tcPr>
          <w:p w14:paraId="04AC5066">
            <w:pPr>
              <w:widowControl/>
              <w:rPr>
                <w:rFonts w:ascii="宋体" w:hAnsi="宋体" w:cs="宋体"/>
                <w:kern w:val="0"/>
              </w:rPr>
            </w:pPr>
            <w:r>
              <w:rPr>
                <w:rFonts w:hint="eastAsia" w:ascii="宋体" w:hAnsi="宋体" w:cs="宋体"/>
                <w:kern w:val="0"/>
              </w:rPr>
              <w:t>考核“历史业务”中交易的客户数，每个客户</w:t>
            </w:r>
            <w:r>
              <w:rPr>
                <w:rFonts w:ascii="宋体" w:hAnsi="宋体" w:cs="宋体"/>
                <w:kern w:val="0"/>
              </w:rPr>
              <w:t>0.8</w:t>
            </w:r>
            <w:r>
              <w:rPr>
                <w:rFonts w:hint="eastAsia" w:ascii="宋体" w:hAnsi="宋体" w:cs="宋体"/>
                <w:kern w:val="0"/>
              </w:rPr>
              <w:t>分，</w:t>
            </w:r>
            <w:r>
              <w:rPr>
                <w:rFonts w:ascii="宋体" w:hAnsi="宋体" w:cs="宋体"/>
                <w:kern w:val="0"/>
              </w:rPr>
              <w:t>20</w:t>
            </w:r>
            <w:r>
              <w:rPr>
                <w:rFonts w:hint="eastAsia" w:ascii="宋体" w:hAnsi="宋体" w:cs="宋体"/>
                <w:kern w:val="0"/>
              </w:rPr>
              <w:t>个不同的客户得满分。</w:t>
            </w:r>
          </w:p>
        </w:tc>
        <w:tc>
          <w:tcPr>
            <w:tcW w:w="704" w:type="dxa"/>
            <w:vAlign w:val="center"/>
          </w:tcPr>
          <w:p w14:paraId="6A362D8C">
            <w:pPr>
              <w:widowControl/>
              <w:jc w:val="center"/>
              <w:rPr>
                <w:rFonts w:ascii="宋体" w:hAnsi="宋体" w:cs="宋体"/>
                <w:kern w:val="0"/>
              </w:rPr>
            </w:pPr>
            <w:r>
              <w:rPr>
                <w:rFonts w:hint="eastAsia" w:ascii="宋体" w:hAnsi="宋体" w:cs="宋体"/>
                <w:kern w:val="0"/>
              </w:rPr>
              <w:t>16</w:t>
            </w:r>
          </w:p>
        </w:tc>
      </w:tr>
      <w:tr w14:paraId="2F5D5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restart"/>
            <w:vAlign w:val="center"/>
          </w:tcPr>
          <w:p w14:paraId="3497B80A">
            <w:pPr>
              <w:widowControl/>
              <w:jc w:val="center"/>
              <w:rPr>
                <w:rFonts w:ascii="宋体" w:hAnsi="宋体" w:cs="宋体"/>
                <w:kern w:val="0"/>
              </w:rPr>
            </w:pPr>
            <w:r>
              <w:rPr>
                <w:rFonts w:hint="eastAsia" w:ascii="宋体" w:hAnsi="宋体" w:cs="宋体"/>
                <w:kern w:val="0"/>
              </w:rPr>
              <w:t>业务磋商</w:t>
            </w:r>
          </w:p>
          <w:p w14:paraId="3CA9F176">
            <w:pPr>
              <w:widowControl/>
              <w:jc w:val="center"/>
              <w:rPr>
                <w:rFonts w:ascii="宋体" w:hAnsi="宋体" w:cs="宋体"/>
                <w:kern w:val="0"/>
              </w:rPr>
            </w:pPr>
            <w:r>
              <w:rPr>
                <w:rFonts w:hint="eastAsia" w:ascii="宋体" w:hAnsi="宋体" w:cs="宋体"/>
                <w:kern w:val="0"/>
              </w:rPr>
              <w:t>（共</w:t>
            </w:r>
            <w:r>
              <w:rPr>
                <w:rFonts w:ascii="宋体" w:hAnsi="宋体" w:cs="宋体"/>
                <w:kern w:val="0"/>
              </w:rPr>
              <w:t>4</w:t>
            </w:r>
            <w:r>
              <w:rPr>
                <w:rFonts w:hint="eastAsia" w:ascii="宋体" w:hAnsi="宋体" w:cs="宋体"/>
                <w:kern w:val="0"/>
              </w:rPr>
              <w:t>分）</w:t>
            </w:r>
          </w:p>
        </w:tc>
        <w:tc>
          <w:tcPr>
            <w:tcW w:w="1658" w:type="dxa"/>
            <w:vAlign w:val="center"/>
          </w:tcPr>
          <w:p w14:paraId="692CEC24">
            <w:pPr>
              <w:widowControl/>
              <w:jc w:val="center"/>
              <w:rPr>
                <w:rFonts w:ascii="宋体" w:hAnsi="宋体" w:cs="宋体"/>
                <w:kern w:val="0"/>
              </w:rPr>
            </w:pPr>
            <w:r>
              <w:rPr>
                <w:rFonts w:hint="eastAsia" w:ascii="宋体" w:hAnsi="宋体" w:cs="宋体"/>
                <w:kern w:val="0"/>
              </w:rPr>
              <w:t>出口业务磋商</w:t>
            </w:r>
          </w:p>
        </w:tc>
        <w:tc>
          <w:tcPr>
            <w:tcW w:w="4497" w:type="dxa"/>
            <w:vAlign w:val="center"/>
          </w:tcPr>
          <w:p w14:paraId="40FCBA4F">
            <w:pPr>
              <w:widowControl/>
              <w:rPr>
                <w:rFonts w:ascii="宋体" w:hAnsi="宋体" w:cs="宋体"/>
                <w:kern w:val="0"/>
              </w:rPr>
            </w:pPr>
            <w:r>
              <w:rPr>
                <w:rFonts w:hint="eastAsia" w:ascii="宋体" w:hAnsi="宋体" w:cs="宋体"/>
                <w:kern w:val="0"/>
              </w:rPr>
              <w:t>此项得分为“历史业务”中的每笔出口业务的“出口业务磋商”得分的平均分。具体每笔业务的评分如下：</w:t>
            </w:r>
          </w:p>
          <w:p w14:paraId="0921C4BE">
            <w:pPr>
              <w:widowControl/>
              <w:rPr>
                <w:rFonts w:ascii="宋体" w:hAnsi="宋体" w:cs="宋体"/>
                <w:kern w:val="0"/>
              </w:rPr>
            </w:pPr>
            <w:r>
              <w:rPr>
                <w:rFonts w:hint="eastAsia" w:ascii="宋体" w:hAnsi="宋体" w:cs="宋体"/>
                <w:kern w:val="0"/>
              </w:rPr>
              <w:t>1.发出的函电中须有类型为“发盘”的函电，有则得0.</w:t>
            </w:r>
            <w:r>
              <w:rPr>
                <w:rFonts w:ascii="宋体" w:hAnsi="宋体" w:cs="宋体"/>
                <w:kern w:val="0"/>
              </w:rPr>
              <w:t>25</w:t>
            </w:r>
            <w:r>
              <w:rPr>
                <w:rFonts w:hint="eastAsia" w:ascii="宋体" w:hAnsi="宋体" w:cs="宋体"/>
                <w:kern w:val="0"/>
              </w:rPr>
              <w:t>分，否则不得分；</w:t>
            </w:r>
          </w:p>
          <w:p w14:paraId="4501310E">
            <w:pPr>
              <w:widowControl/>
              <w:rPr>
                <w:rFonts w:ascii="宋体" w:hAnsi="宋体" w:cs="宋体"/>
                <w:kern w:val="0"/>
              </w:rPr>
            </w:pPr>
            <w:r>
              <w:rPr>
                <w:rFonts w:hint="eastAsia" w:ascii="宋体" w:hAnsi="宋体" w:cs="宋体"/>
                <w:kern w:val="0"/>
              </w:rPr>
              <w:t>2.发出的“发盘”函电的标题中需选择合同交易产品名称，符合要求得0</w:t>
            </w:r>
            <w:r>
              <w:rPr>
                <w:rFonts w:ascii="宋体" w:hAnsi="宋体" w:cs="宋体"/>
                <w:kern w:val="0"/>
              </w:rPr>
              <w:t>.25</w:t>
            </w:r>
            <w:r>
              <w:rPr>
                <w:rFonts w:hint="eastAsia" w:ascii="宋体" w:hAnsi="宋体" w:cs="宋体"/>
                <w:kern w:val="0"/>
              </w:rPr>
              <w:t>分，否则不得分；</w:t>
            </w:r>
          </w:p>
          <w:p w14:paraId="421CE83E">
            <w:pPr>
              <w:widowControl/>
              <w:rPr>
                <w:rFonts w:ascii="宋体" w:hAnsi="宋体" w:cs="宋体"/>
                <w:kern w:val="0"/>
              </w:rPr>
            </w:pPr>
            <w:r>
              <w:rPr>
                <w:rFonts w:ascii="宋体" w:hAnsi="宋体" w:cs="宋体"/>
                <w:kern w:val="0"/>
              </w:rPr>
              <w:t>3.</w:t>
            </w:r>
            <w:r>
              <w:rPr>
                <w:rFonts w:hint="eastAsia" w:ascii="宋体" w:hAnsi="宋体" w:cs="宋体"/>
                <w:kern w:val="0"/>
              </w:rPr>
              <w:t>发出的“发盘”函电的正文中需正确选择/填写以下要素：产品、销售数量及单位、单价（币别、金额、销售单位、贸易术语、港口信息）、总金额及币别、结算方式、运输方式、装运港、目的港、保险条款（每个要素0</w:t>
            </w:r>
            <w:r>
              <w:rPr>
                <w:rFonts w:ascii="宋体" w:hAnsi="宋体" w:cs="宋体"/>
                <w:kern w:val="0"/>
              </w:rPr>
              <w:t>.1</w:t>
            </w:r>
            <w:r>
              <w:rPr>
                <w:rFonts w:hint="eastAsia" w:ascii="宋体" w:hAnsi="宋体" w:cs="宋体"/>
                <w:kern w:val="0"/>
              </w:rPr>
              <w:t>分，共1</w:t>
            </w:r>
            <w:r>
              <w:rPr>
                <w:rFonts w:ascii="宋体" w:hAnsi="宋体" w:cs="宋体"/>
                <w:kern w:val="0"/>
              </w:rPr>
              <w:t>.5</w:t>
            </w:r>
            <w:r>
              <w:rPr>
                <w:rFonts w:hint="eastAsia" w:ascii="宋体" w:hAnsi="宋体" w:cs="宋体"/>
                <w:kern w:val="0"/>
              </w:rPr>
              <w:t>分），符合要求得分，否则不得分；</w:t>
            </w:r>
          </w:p>
          <w:p w14:paraId="365B581C">
            <w:pPr>
              <w:widowControl/>
              <w:rPr>
                <w:rFonts w:ascii="宋体" w:hAnsi="宋体" w:cs="宋体"/>
                <w:kern w:val="0"/>
              </w:rPr>
            </w:pPr>
            <w:r>
              <w:rPr>
                <w:rFonts w:hint="eastAsia" w:ascii="宋体" w:hAnsi="宋体" w:cs="宋体"/>
                <w:kern w:val="0"/>
              </w:rPr>
              <w:t>注意：如有多次“发盘”，至少有一封函电需正确选择/填写标题及所有要素。</w:t>
            </w:r>
          </w:p>
        </w:tc>
        <w:tc>
          <w:tcPr>
            <w:tcW w:w="704" w:type="dxa"/>
            <w:vAlign w:val="center"/>
          </w:tcPr>
          <w:p w14:paraId="324D413A">
            <w:pPr>
              <w:widowControl/>
              <w:jc w:val="center"/>
              <w:rPr>
                <w:rFonts w:ascii="宋体" w:hAnsi="宋体" w:cs="宋体"/>
                <w:kern w:val="0"/>
              </w:rPr>
            </w:pPr>
            <w:r>
              <w:rPr>
                <w:rFonts w:ascii="宋体" w:hAnsi="宋体" w:cs="宋体"/>
                <w:kern w:val="0"/>
              </w:rPr>
              <w:t>2</w:t>
            </w:r>
          </w:p>
        </w:tc>
      </w:tr>
      <w:tr w14:paraId="674E0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vAlign w:val="center"/>
          </w:tcPr>
          <w:p w14:paraId="306B7E11">
            <w:pPr>
              <w:widowControl/>
              <w:jc w:val="center"/>
              <w:rPr>
                <w:rFonts w:ascii="宋体" w:hAnsi="宋体" w:cs="宋体"/>
                <w:kern w:val="0"/>
              </w:rPr>
            </w:pPr>
          </w:p>
        </w:tc>
        <w:tc>
          <w:tcPr>
            <w:tcW w:w="1658" w:type="dxa"/>
            <w:vAlign w:val="center"/>
          </w:tcPr>
          <w:p w14:paraId="11149E64">
            <w:pPr>
              <w:widowControl/>
              <w:jc w:val="center"/>
              <w:rPr>
                <w:rFonts w:ascii="宋体" w:hAnsi="宋体" w:cs="宋体"/>
                <w:kern w:val="0"/>
              </w:rPr>
            </w:pPr>
            <w:r>
              <w:rPr>
                <w:rFonts w:hint="eastAsia" w:ascii="宋体" w:hAnsi="宋体" w:cs="宋体"/>
                <w:kern w:val="0"/>
              </w:rPr>
              <w:t>进口业务磋商</w:t>
            </w:r>
          </w:p>
        </w:tc>
        <w:tc>
          <w:tcPr>
            <w:tcW w:w="4497" w:type="dxa"/>
            <w:vAlign w:val="center"/>
          </w:tcPr>
          <w:p w14:paraId="3CA7372E">
            <w:pPr>
              <w:widowControl/>
              <w:rPr>
                <w:rFonts w:ascii="宋体" w:hAnsi="宋体" w:cs="宋体"/>
                <w:kern w:val="0"/>
              </w:rPr>
            </w:pPr>
            <w:r>
              <w:rPr>
                <w:rFonts w:hint="eastAsia" w:ascii="宋体" w:hAnsi="宋体" w:cs="宋体"/>
                <w:kern w:val="0"/>
              </w:rPr>
              <w:t>此项得分为“历史业务”中的每笔进口业务的“进口业务磋商”得分的平均分。具体每笔业务的评分如下：</w:t>
            </w:r>
          </w:p>
          <w:p w14:paraId="4326EB6C">
            <w:pPr>
              <w:widowControl/>
              <w:rPr>
                <w:rFonts w:ascii="宋体" w:hAnsi="宋体" w:cs="宋体"/>
                <w:kern w:val="0"/>
              </w:rPr>
            </w:pPr>
            <w:r>
              <w:rPr>
                <w:rFonts w:hint="eastAsia" w:ascii="宋体" w:hAnsi="宋体" w:cs="宋体"/>
                <w:kern w:val="0"/>
              </w:rPr>
              <w:t>1.发出的函电中须有“询盘”和“接受”两种类型的函电，每个类型各0.25分，有则得分，否则不得分，共0.5分；</w:t>
            </w:r>
          </w:p>
          <w:p w14:paraId="22C9C624">
            <w:pPr>
              <w:widowControl/>
              <w:rPr>
                <w:rFonts w:ascii="宋体" w:hAnsi="宋体" w:cs="宋体"/>
                <w:kern w:val="0"/>
              </w:rPr>
            </w:pPr>
            <w:r>
              <w:rPr>
                <w:rFonts w:hint="eastAsia" w:ascii="宋体" w:hAnsi="宋体" w:cs="宋体"/>
                <w:kern w:val="0"/>
              </w:rPr>
              <w:t>2.发出的“询盘”函电的正文中需选择合同交易产品，符合要求得0.3分，否则不得分；</w:t>
            </w:r>
          </w:p>
          <w:p w14:paraId="3A8C907D">
            <w:pPr>
              <w:widowControl/>
              <w:rPr>
                <w:rFonts w:ascii="宋体" w:hAnsi="宋体" w:cs="宋体"/>
                <w:kern w:val="0"/>
              </w:rPr>
            </w:pPr>
            <w:r>
              <w:rPr>
                <w:rFonts w:hint="eastAsia" w:ascii="宋体" w:hAnsi="宋体" w:cs="宋体"/>
                <w:kern w:val="0"/>
              </w:rPr>
              <w:t>3.发出的“接受”函电的标题中需选择合同交易产品名称，符合要求得0.3分，否则不得分；</w:t>
            </w:r>
          </w:p>
          <w:p w14:paraId="37CF0478">
            <w:pPr>
              <w:widowControl/>
              <w:rPr>
                <w:rFonts w:ascii="宋体" w:hAnsi="宋体" w:cs="宋体"/>
                <w:kern w:val="0"/>
              </w:rPr>
            </w:pPr>
            <w:r>
              <w:rPr>
                <w:rFonts w:hint="eastAsia" w:ascii="宋体" w:hAnsi="宋体" w:cs="宋体"/>
                <w:kern w:val="0"/>
              </w:rPr>
              <w:t>4. 发出的“接受”函电的正文中需正确选择/填写以下要素：产品、销售数量及单位、单价（币别、金额、销售单位、贸易术语、港口信息）、结算方式（每个要素0.1分，共0.9分），合要求得分，否则不得分；</w:t>
            </w:r>
          </w:p>
          <w:p w14:paraId="63426D25">
            <w:pPr>
              <w:widowControl/>
              <w:rPr>
                <w:rFonts w:ascii="宋体" w:hAnsi="宋体" w:cs="宋体"/>
                <w:kern w:val="0"/>
              </w:rPr>
            </w:pPr>
            <w:r>
              <w:rPr>
                <w:rFonts w:hint="eastAsia" w:ascii="宋体" w:hAnsi="宋体" w:cs="宋体"/>
                <w:kern w:val="0"/>
              </w:rPr>
              <w:t>注意：</w:t>
            </w:r>
          </w:p>
          <w:p w14:paraId="664BCEE4">
            <w:pPr>
              <w:widowControl/>
              <w:rPr>
                <w:rFonts w:ascii="宋体" w:hAnsi="宋体" w:cs="宋体"/>
                <w:kern w:val="0"/>
              </w:rPr>
            </w:pPr>
            <w:r>
              <w:rPr>
                <w:rFonts w:hint="eastAsia" w:ascii="宋体" w:hAnsi="宋体" w:cs="宋体"/>
                <w:kern w:val="0"/>
              </w:rPr>
              <w:t>（1）如有多次“询盘”，至少有一封函电需正确选择合同交易产品</w:t>
            </w:r>
          </w:p>
          <w:p w14:paraId="361F58ED">
            <w:pPr>
              <w:widowControl/>
              <w:rPr>
                <w:rFonts w:ascii="宋体" w:hAnsi="宋体" w:cs="宋体"/>
                <w:kern w:val="0"/>
              </w:rPr>
            </w:pPr>
            <w:r>
              <w:rPr>
                <w:rFonts w:hint="eastAsia" w:ascii="宋体" w:hAnsi="宋体" w:cs="宋体"/>
                <w:kern w:val="0"/>
              </w:rPr>
              <w:t>（2）如有多次“接受”，至少有一封函电需正确选择/填写标题及所有要素。</w:t>
            </w:r>
          </w:p>
        </w:tc>
        <w:tc>
          <w:tcPr>
            <w:tcW w:w="704" w:type="dxa"/>
            <w:vAlign w:val="center"/>
          </w:tcPr>
          <w:p w14:paraId="57F9B56E">
            <w:pPr>
              <w:widowControl/>
              <w:jc w:val="center"/>
              <w:rPr>
                <w:rFonts w:ascii="宋体" w:hAnsi="宋体" w:cs="宋体"/>
                <w:kern w:val="0"/>
              </w:rPr>
            </w:pPr>
            <w:r>
              <w:rPr>
                <w:rFonts w:ascii="宋体" w:hAnsi="宋体" w:cs="宋体"/>
                <w:kern w:val="0"/>
              </w:rPr>
              <w:t>2</w:t>
            </w:r>
          </w:p>
        </w:tc>
      </w:tr>
      <w:tr w14:paraId="33807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restart"/>
            <w:vAlign w:val="center"/>
          </w:tcPr>
          <w:p w14:paraId="10D6F00B">
            <w:pPr>
              <w:widowControl/>
              <w:jc w:val="center"/>
              <w:rPr>
                <w:rFonts w:ascii="宋体" w:hAnsi="宋体" w:cs="宋体"/>
                <w:kern w:val="0"/>
              </w:rPr>
            </w:pPr>
            <w:r>
              <w:rPr>
                <w:rFonts w:hint="eastAsia" w:ascii="宋体" w:hAnsi="宋体" w:cs="宋体"/>
                <w:kern w:val="0"/>
              </w:rPr>
              <w:t>进出口价格核算</w:t>
            </w:r>
          </w:p>
          <w:p w14:paraId="2A20755E">
            <w:pPr>
              <w:widowControl/>
              <w:jc w:val="center"/>
              <w:rPr>
                <w:rFonts w:ascii="宋体" w:hAnsi="宋体" w:cs="宋体"/>
                <w:kern w:val="0"/>
              </w:rPr>
            </w:pPr>
            <w:r>
              <w:rPr>
                <w:rFonts w:hint="eastAsia" w:ascii="宋体" w:hAnsi="宋体" w:cs="宋体"/>
                <w:kern w:val="0"/>
              </w:rPr>
              <w:t>（共</w:t>
            </w:r>
            <w:r>
              <w:rPr>
                <w:rFonts w:ascii="宋体" w:hAnsi="宋体" w:cs="宋体"/>
                <w:kern w:val="0"/>
              </w:rPr>
              <w:t>8</w:t>
            </w:r>
            <w:r>
              <w:rPr>
                <w:rFonts w:hint="eastAsia" w:ascii="宋体" w:hAnsi="宋体" w:cs="宋体"/>
                <w:kern w:val="0"/>
              </w:rPr>
              <w:t>）</w:t>
            </w:r>
          </w:p>
        </w:tc>
        <w:tc>
          <w:tcPr>
            <w:tcW w:w="1658" w:type="dxa"/>
            <w:vAlign w:val="center"/>
          </w:tcPr>
          <w:p w14:paraId="6FA41C33">
            <w:pPr>
              <w:widowControl/>
              <w:jc w:val="center"/>
              <w:rPr>
                <w:rFonts w:ascii="宋体" w:hAnsi="宋体" w:cs="宋体"/>
                <w:kern w:val="0"/>
              </w:rPr>
            </w:pPr>
            <w:r>
              <w:rPr>
                <w:rFonts w:hint="eastAsia" w:ascii="宋体" w:hAnsi="宋体" w:cs="宋体"/>
                <w:kern w:val="0"/>
              </w:rPr>
              <w:t>出口成本预算</w:t>
            </w:r>
          </w:p>
        </w:tc>
        <w:tc>
          <w:tcPr>
            <w:tcW w:w="4497" w:type="dxa"/>
            <w:vAlign w:val="center"/>
          </w:tcPr>
          <w:p w14:paraId="43E8A680">
            <w:pPr>
              <w:widowControl/>
              <w:rPr>
                <w:rFonts w:ascii="宋体" w:hAnsi="宋体" w:cs="宋体"/>
                <w:kern w:val="0"/>
              </w:rPr>
            </w:pPr>
            <w:r>
              <w:rPr>
                <w:rFonts w:hint="eastAsia" w:ascii="宋体" w:hAnsi="宋体" w:cs="宋体"/>
                <w:kern w:val="0"/>
              </w:rPr>
              <w:t>此项得分为：“历史业务”中出口成本预算表的平均得分×</w:t>
            </w:r>
            <w:r>
              <w:rPr>
                <w:rFonts w:ascii="宋体" w:hAnsi="宋体" w:cs="宋体"/>
                <w:kern w:val="0"/>
              </w:rPr>
              <w:t>4</w:t>
            </w:r>
            <w:r>
              <w:rPr>
                <w:rFonts w:hint="eastAsia" w:ascii="宋体" w:hAnsi="宋体" w:cs="宋体"/>
                <w:kern w:val="0"/>
              </w:rPr>
              <w:t>%。</w:t>
            </w:r>
          </w:p>
        </w:tc>
        <w:tc>
          <w:tcPr>
            <w:tcW w:w="704" w:type="dxa"/>
            <w:vAlign w:val="center"/>
          </w:tcPr>
          <w:p w14:paraId="43995454">
            <w:pPr>
              <w:widowControl/>
              <w:jc w:val="center"/>
              <w:rPr>
                <w:rFonts w:ascii="宋体" w:hAnsi="宋体" w:cs="宋体"/>
                <w:kern w:val="0"/>
              </w:rPr>
            </w:pPr>
            <w:r>
              <w:rPr>
                <w:rFonts w:ascii="宋体" w:hAnsi="宋体" w:cs="宋体"/>
                <w:kern w:val="0"/>
              </w:rPr>
              <w:t>4</w:t>
            </w:r>
          </w:p>
        </w:tc>
      </w:tr>
      <w:tr w14:paraId="029FE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vAlign w:val="center"/>
          </w:tcPr>
          <w:p w14:paraId="0BE7FF1E">
            <w:pPr>
              <w:widowControl/>
              <w:jc w:val="center"/>
              <w:rPr>
                <w:rFonts w:ascii="宋体" w:hAnsi="宋体" w:cs="宋体"/>
                <w:kern w:val="0"/>
              </w:rPr>
            </w:pPr>
          </w:p>
        </w:tc>
        <w:tc>
          <w:tcPr>
            <w:tcW w:w="1658" w:type="dxa"/>
            <w:vAlign w:val="center"/>
          </w:tcPr>
          <w:p w14:paraId="503D5EF3">
            <w:pPr>
              <w:widowControl/>
              <w:jc w:val="center"/>
              <w:rPr>
                <w:rFonts w:ascii="宋体" w:hAnsi="宋体" w:cs="宋体"/>
                <w:kern w:val="0"/>
              </w:rPr>
            </w:pPr>
            <w:r>
              <w:rPr>
                <w:rFonts w:hint="eastAsia" w:ascii="宋体" w:hAnsi="宋体" w:cs="宋体"/>
                <w:kern w:val="0"/>
              </w:rPr>
              <w:t>进口成本预算</w:t>
            </w:r>
          </w:p>
        </w:tc>
        <w:tc>
          <w:tcPr>
            <w:tcW w:w="4497" w:type="dxa"/>
            <w:vAlign w:val="center"/>
          </w:tcPr>
          <w:p w14:paraId="7FE28AEF">
            <w:pPr>
              <w:widowControl/>
              <w:rPr>
                <w:rFonts w:ascii="宋体" w:hAnsi="宋体" w:cs="宋体"/>
                <w:kern w:val="0"/>
              </w:rPr>
            </w:pPr>
            <w:r>
              <w:rPr>
                <w:rFonts w:hint="eastAsia" w:ascii="宋体" w:hAnsi="宋体" w:cs="宋体"/>
                <w:kern w:val="0"/>
              </w:rPr>
              <w:t>此项得分为：“历史业务”中进口成本预算表的平均得分×</w:t>
            </w:r>
            <w:r>
              <w:rPr>
                <w:rFonts w:ascii="宋体" w:hAnsi="宋体" w:cs="宋体"/>
                <w:kern w:val="0"/>
              </w:rPr>
              <w:t>4</w:t>
            </w:r>
            <w:r>
              <w:rPr>
                <w:rFonts w:hint="eastAsia" w:ascii="宋体" w:hAnsi="宋体" w:cs="宋体"/>
                <w:kern w:val="0"/>
              </w:rPr>
              <w:t>%。</w:t>
            </w:r>
          </w:p>
        </w:tc>
        <w:tc>
          <w:tcPr>
            <w:tcW w:w="704" w:type="dxa"/>
            <w:vAlign w:val="center"/>
          </w:tcPr>
          <w:p w14:paraId="5DFBCD51">
            <w:pPr>
              <w:widowControl/>
              <w:jc w:val="center"/>
              <w:rPr>
                <w:rFonts w:ascii="宋体" w:hAnsi="宋体" w:cs="宋体"/>
                <w:kern w:val="0"/>
              </w:rPr>
            </w:pPr>
            <w:r>
              <w:rPr>
                <w:rFonts w:ascii="宋体" w:hAnsi="宋体" w:cs="宋体"/>
                <w:kern w:val="0"/>
              </w:rPr>
              <w:t>4</w:t>
            </w:r>
          </w:p>
        </w:tc>
      </w:tr>
      <w:tr w14:paraId="679FF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Align w:val="center"/>
          </w:tcPr>
          <w:p w14:paraId="3B96F5D3">
            <w:pPr>
              <w:widowControl/>
              <w:jc w:val="center"/>
              <w:rPr>
                <w:rFonts w:ascii="宋体" w:hAnsi="宋体" w:cs="宋体"/>
                <w:kern w:val="0"/>
              </w:rPr>
            </w:pPr>
            <w:r>
              <w:rPr>
                <w:rFonts w:hint="eastAsia" w:ascii="宋体" w:hAnsi="宋体" w:cs="宋体"/>
                <w:kern w:val="0"/>
              </w:rPr>
              <w:t>签订合同</w:t>
            </w:r>
          </w:p>
          <w:p w14:paraId="6C024AFD">
            <w:pPr>
              <w:widowControl/>
              <w:jc w:val="center"/>
              <w:rPr>
                <w:rFonts w:ascii="宋体" w:hAnsi="宋体" w:cs="宋体"/>
                <w:kern w:val="0"/>
              </w:rPr>
            </w:pPr>
            <w:r>
              <w:rPr>
                <w:rFonts w:hint="eastAsia" w:ascii="宋体" w:hAnsi="宋体" w:cs="宋体"/>
                <w:kern w:val="0"/>
              </w:rPr>
              <w:t>（共</w:t>
            </w:r>
            <w:r>
              <w:rPr>
                <w:rFonts w:ascii="宋体" w:hAnsi="宋体" w:cs="宋体"/>
                <w:kern w:val="0"/>
              </w:rPr>
              <w:t>4</w:t>
            </w:r>
            <w:r>
              <w:rPr>
                <w:rFonts w:hint="eastAsia" w:ascii="宋体" w:hAnsi="宋体" w:cs="宋体"/>
                <w:kern w:val="0"/>
              </w:rPr>
              <w:t>分）</w:t>
            </w:r>
          </w:p>
        </w:tc>
        <w:tc>
          <w:tcPr>
            <w:tcW w:w="1658" w:type="dxa"/>
            <w:vAlign w:val="center"/>
          </w:tcPr>
          <w:p w14:paraId="071428FE">
            <w:pPr>
              <w:widowControl/>
              <w:jc w:val="center"/>
              <w:rPr>
                <w:rFonts w:ascii="宋体" w:hAnsi="宋体" w:cs="宋体"/>
                <w:kern w:val="0"/>
              </w:rPr>
            </w:pPr>
            <w:r>
              <w:rPr>
                <w:rFonts w:hint="eastAsia" w:ascii="宋体" w:hAnsi="宋体" w:cs="宋体"/>
                <w:kern w:val="0"/>
              </w:rPr>
              <w:t>进出口合同订立</w:t>
            </w:r>
          </w:p>
        </w:tc>
        <w:tc>
          <w:tcPr>
            <w:tcW w:w="4497" w:type="dxa"/>
            <w:vAlign w:val="center"/>
          </w:tcPr>
          <w:p w14:paraId="66BB7498">
            <w:pPr>
              <w:widowControl/>
              <w:rPr>
                <w:rFonts w:ascii="宋体" w:hAnsi="宋体" w:cs="宋体"/>
                <w:kern w:val="0"/>
              </w:rPr>
            </w:pPr>
            <w:r>
              <w:rPr>
                <w:rFonts w:hint="eastAsia" w:ascii="宋体" w:hAnsi="宋体" w:cs="宋体"/>
                <w:kern w:val="0"/>
              </w:rPr>
              <w:t>“历史业务”中每笔进出口业务得0.2 分，20笔满分。 应为“历史业务”中每笔业务利润率大于10%的出口业务得0.2分，10笔满分；每笔业务利润率大于5%的进口业务得0.2分，10笔满分。</w:t>
            </w:r>
          </w:p>
        </w:tc>
        <w:tc>
          <w:tcPr>
            <w:tcW w:w="704" w:type="dxa"/>
            <w:vAlign w:val="center"/>
          </w:tcPr>
          <w:p w14:paraId="72E88C60">
            <w:pPr>
              <w:widowControl/>
              <w:jc w:val="center"/>
              <w:rPr>
                <w:rFonts w:ascii="宋体" w:hAnsi="宋体" w:cs="宋体"/>
                <w:kern w:val="0"/>
              </w:rPr>
            </w:pPr>
            <w:r>
              <w:rPr>
                <w:rFonts w:ascii="宋体" w:hAnsi="宋体" w:cs="宋体"/>
                <w:kern w:val="0"/>
              </w:rPr>
              <w:t>4</w:t>
            </w:r>
          </w:p>
        </w:tc>
      </w:tr>
      <w:tr w14:paraId="26630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restart"/>
            <w:vAlign w:val="center"/>
          </w:tcPr>
          <w:p w14:paraId="764A2286">
            <w:pPr>
              <w:widowControl/>
              <w:jc w:val="center"/>
              <w:rPr>
                <w:rFonts w:ascii="宋体" w:hAnsi="宋体" w:cs="宋体"/>
                <w:color w:val="000000"/>
                <w:kern w:val="0"/>
              </w:rPr>
            </w:pPr>
            <w:r>
              <w:rPr>
                <w:rFonts w:hint="eastAsia" w:ascii="宋体" w:hAnsi="宋体" w:cs="宋体"/>
                <w:color w:val="000000"/>
                <w:kern w:val="0"/>
              </w:rPr>
              <w:t>业务多样性</w:t>
            </w:r>
          </w:p>
          <w:p w14:paraId="0BBB1E9E">
            <w:pPr>
              <w:widowControl/>
              <w:jc w:val="center"/>
              <w:rPr>
                <w:rFonts w:ascii="宋体" w:hAnsi="宋体" w:cs="宋体"/>
                <w:color w:val="000000"/>
                <w:kern w:val="0"/>
              </w:rPr>
            </w:pPr>
            <w:r>
              <w:rPr>
                <w:rFonts w:hint="eastAsia" w:ascii="宋体" w:hAnsi="宋体" w:cs="宋体"/>
                <w:color w:val="000000"/>
                <w:kern w:val="0"/>
              </w:rPr>
              <w:t>（共30.9分）</w:t>
            </w:r>
          </w:p>
        </w:tc>
        <w:tc>
          <w:tcPr>
            <w:tcW w:w="1658" w:type="dxa"/>
            <w:vMerge w:val="restart"/>
            <w:vAlign w:val="center"/>
          </w:tcPr>
          <w:p w14:paraId="08FF4A60">
            <w:pPr>
              <w:widowControl/>
              <w:jc w:val="center"/>
              <w:rPr>
                <w:rFonts w:ascii="宋体" w:hAnsi="宋体" w:cs="宋体"/>
                <w:color w:val="000000"/>
                <w:kern w:val="0"/>
              </w:rPr>
            </w:pPr>
            <w:r>
              <w:rPr>
                <w:rFonts w:hint="eastAsia" w:ascii="宋体" w:hAnsi="宋体" w:cs="宋体"/>
                <w:color w:val="000000"/>
                <w:kern w:val="0"/>
              </w:rPr>
              <w:t>成交产品数</w:t>
            </w:r>
          </w:p>
        </w:tc>
        <w:tc>
          <w:tcPr>
            <w:tcW w:w="4497" w:type="dxa"/>
            <w:vAlign w:val="center"/>
          </w:tcPr>
          <w:p w14:paraId="7F3554AA">
            <w:pPr>
              <w:widowControl/>
              <w:rPr>
                <w:rFonts w:ascii="宋体" w:hAnsi="宋体" w:cs="宋体"/>
                <w:color w:val="000000"/>
                <w:kern w:val="0"/>
              </w:rPr>
            </w:pPr>
            <w:r>
              <w:rPr>
                <w:rFonts w:hint="eastAsia" w:ascii="宋体" w:hAnsi="宋体" w:cs="宋体"/>
                <w:color w:val="000000"/>
                <w:kern w:val="0"/>
              </w:rPr>
              <w:t>“历史业务”中出口产品应多样化，每个不同的产品（按产品编号）得</w:t>
            </w:r>
            <w:r>
              <w:rPr>
                <w:rFonts w:ascii="宋体" w:hAnsi="宋体" w:cs="宋体"/>
                <w:color w:val="000000"/>
                <w:kern w:val="0"/>
              </w:rPr>
              <w:t>0.8</w:t>
            </w:r>
            <w:r>
              <w:rPr>
                <w:rFonts w:hint="eastAsia" w:ascii="宋体" w:hAnsi="宋体" w:cs="宋体"/>
                <w:color w:val="000000"/>
                <w:kern w:val="0"/>
              </w:rPr>
              <w:t>分，1</w:t>
            </w:r>
            <w:r>
              <w:rPr>
                <w:rFonts w:ascii="宋体" w:hAnsi="宋体" w:cs="宋体"/>
                <w:color w:val="000000"/>
                <w:kern w:val="0"/>
              </w:rPr>
              <w:t>0</w:t>
            </w:r>
            <w:r>
              <w:rPr>
                <w:rFonts w:hint="eastAsia" w:ascii="宋体" w:hAnsi="宋体" w:cs="宋体"/>
                <w:color w:val="000000"/>
                <w:kern w:val="0"/>
              </w:rPr>
              <w:t>个满分。</w:t>
            </w:r>
          </w:p>
        </w:tc>
        <w:tc>
          <w:tcPr>
            <w:tcW w:w="704" w:type="dxa"/>
            <w:vAlign w:val="center"/>
          </w:tcPr>
          <w:p w14:paraId="5135BEC4">
            <w:pPr>
              <w:widowControl/>
              <w:jc w:val="center"/>
              <w:rPr>
                <w:rFonts w:ascii="宋体" w:hAnsi="宋体" w:cs="宋体"/>
                <w:color w:val="000000"/>
                <w:kern w:val="0"/>
              </w:rPr>
            </w:pPr>
            <w:r>
              <w:rPr>
                <w:rFonts w:hint="eastAsia" w:ascii="宋体" w:hAnsi="宋体" w:cs="宋体"/>
                <w:color w:val="000000"/>
                <w:kern w:val="0"/>
              </w:rPr>
              <w:t>8</w:t>
            </w:r>
          </w:p>
        </w:tc>
      </w:tr>
      <w:tr w14:paraId="3BD8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vAlign w:val="center"/>
          </w:tcPr>
          <w:p w14:paraId="081B6F24">
            <w:pPr>
              <w:widowControl/>
              <w:jc w:val="center"/>
              <w:rPr>
                <w:rFonts w:ascii="宋体" w:hAnsi="宋体" w:cs="宋体"/>
                <w:color w:val="000000"/>
                <w:kern w:val="0"/>
              </w:rPr>
            </w:pPr>
          </w:p>
        </w:tc>
        <w:tc>
          <w:tcPr>
            <w:tcW w:w="1658" w:type="dxa"/>
            <w:vMerge w:val="continue"/>
            <w:vAlign w:val="center"/>
          </w:tcPr>
          <w:p w14:paraId="3E831EC8">
            <w:pPr>
              <w:widowControl/>
              <w:jc w:val="center"/>
              <w:rPr>
                <w:rFonts w:ascii="宋体" w:hAnsi="宋体" w:cs="宋体"/>
                <w:color w:val="000000"/>
                <w:kern w:val="0"/>
              </w:rPr>
            </w:pPr>
          </w:p>
        </w:tc>
        <w:tc>
          <w:tcPr>
            <w:tcW w:w="4497" w:type="dxa"/>
            <w:vAlign w:val="center"/>
          </w:tcPr>
          <w:p w14:paraId="3B759E2B">
            <w:pPr>
              <w:widowControl/>
              <w:rPr>
                <w:rFonts w:ascii="宋体" w:hAnsi="宋体" w:cs="宋体"/>
                <w:color w:val="000000"/>
                <w:kern w:val="0"/>
              </w:rPr>
            </w:pPr>
            <w:r>
              <w:rPr>
                <w:rFonts w:hint="eastAsia" w:ascii="宋体" w:hAnsi="宋体" w:cs="宋体"/>
                <w:color w:val="000000"/>
                <w:kern w:val="0"/>
              </w:rPr>
              <w:t>“历史业务”中进口产品应多样化，每个不同的产品（按产品编号）得</w:t>
            </w:r>
            <w:r>
              <w:rPr>
                <w:rFonts w:ascii="宋体" w:hAnsi="宋体" w:cs="宋体"/>
                <w:color w:val="000000"/>
                <w:kern w:val="0"/>
              </w:rPr>
              <w:t>0.8</w:t>
            </w:r>
            <w:r>
              <w:rPr>
                <w:rFonts w:hint="eastAsia" w:ascii="宋体" w:hAnsi="宋体" w:cs="宋体"/>
                <w:color w:val="000000"/>
                <w:kern w:val="0"/>
              </w:rPr>
              <w:t>分，</w:t>
            </w:r>
            <w:r>
              <w:rPr>
                <w:rFonts w:ascii="宋体" w:hAnsi="宋体" w:cs="宋体"/>
                <w:color w:val="000000"/>
                <w:kern w:val="0"/>
              </w:rPr>
              <w:t>10</w:t>
            </w:r>
            <w:r>
              <w:rPr>
                <w:rFonts w:hint="eastAsia" w:ascii="宋体" w:hAnsi="宋体" w:cs="宋体"/>
                <w:color w:val="000000"/>
                <w:kern w:val="0"/>
              </w:rPr>
              <w:t>个满分。</w:t>
            </w:r>
          </w:p>
        </w:tc>
        <w:tc>
          <w:tcPr>
            <w:tcW w:w="704" w:type="dxa"/>
            <w:vAlign w:val="center"/>
          </w:tcPr>
          <w:p w14:paraId="4C724E31">
            <w:pPr>
              <w:widowControl/>
              <w:jc w:val="center"/>
              <w:rPr>
                <w:rFonts w:ascii="宋体" w:hAnsi="宋体" w:cs="宋体"/>
                <w:color w:val="000000"/>
                <w:kern w:val="0"/>
              </w:rPr>
            </w:pPr>
            <w:r>
              <w:rPr>
                <w:rFonts w:hint="eastAsia" w:ascii="宋体" w:hAnsi="宋体" w:cs="宋体"/>
                <w:color w:val="000000"/>
                <w:kern w:val="0"/>
              </w:rPr>
              <w:t>8</w:t>
            </w:r>
          </w:p>
        </w:tc>
      </w:tr>
      <w:tr w14:paraId="54EC1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vAlign w:val="center"/>
          </w:tcPr>
          <w:p w14:paraId="52BB4510">
            <w:pPr>
              <w:widowControl/>
              <w:jc w:val="center"/>
              <w:rPr>
                <w:rFonts w:ascii="宋体" w:hAnsi="宋体" w:cs="宋体"/>
                <w:color w:val="000000"/>
                <w:kern w:val="0"/>
              </w:rPr>
            </w:pPr>
          </w:p>
        </w:tc>
        <w:tc>
          <w:tcPr>
            <w:tcW w:w="1658" w:type="dxa"/>
            <w:vMerge w:val="restart"/>
            <w:vAlign w:val="center"/>
          </w:tcPr>
          <w:p w14:paraId="7F5E914F">
            <w:pPr>
              <w:widowControl/>
              <w:jc w:val="center"/>
              <w:rPr>
                <w:rFonts w:ascii="宋体" w:hAnsi="宋体" w:cs="宋体"/>
                <w:color w:val="000000"/>
                <w:kern w:val="0"/>
              </w:rPr>
            </w:pPr>
            <w:r>
              <w:rPr>
                <w:rFonts w:hint="eastAsia" w:ascii="宋体" w:hAnsi="宋体" w:cs="宋体"/>
                <w:color w:val="000000"/>
                <w:kern w:val="0"/>
              </w:rPr>
              <w:t>主要贸易术语的掌握和运用</w:t>
            </w:r>
          </w:p>
        </w:tc>
        <w:tc>
          <w:tcPr>
            <w:tcW w:w="4497" w:type="dxa"/>
            <w:vAlign w:val="center"/>
          </w:tcPr>
          <w:p w14:paraId="787DB17A">
            <w:pPr>
              <w:widowControl/>
              <w:rPr>
                <w:rFonts w:ascii="宋体" w:hAnsi="宋体" w:cs="宋体"/>
                <w:color w:val="000000"/>
                <w:kern w:val="0"/>
              </w:rPr>
            </w:pPr>
            <w:r>
              <w:rPr>
                <w:rFonts w:hint="eastAsia" w:ascii="宋体" w:hAnsi="宋体" w:cs="宋体"/>
                <w:color w:val="000000"/>
                <w:kern w:val="0"/>
              </w:rPr>
              <w:t>“历史业务”中出口业务贸易术语使用种类数量，使用一种得0.3分，9种得满分。</w:t>
            </w:r>
          </w:p>
        </w:tc>
        <w:tc>
          <w:tcPr>
            <w:tcW w:w="704" w:type="dxa"/>
            <w:vAlign w:val="center"/>
          </w:tcPr>
          <w:p w14:paraId="1741B8C7">
            <w:pPr>
              <w:widowControl/>
              <w:jc w:val="center"/>
              <w:rPr>
                <w:rFonts w:ascii="宋体" w:hAnsi="宋体" w:cs="宋体"/>
                <w:color w:val="000000"/>
                <w:kern w:val="0"/>
              </w:rPr>
            </w:pPr>
            <w:r>
              <w:rPr>
                <w:rFonts w:hint="eastAsia" w:ascii="宋体" w:hAnsi="宋体" w:cs="宋体"/>
                <w:color w:val="000000"/>
                <w:kern w:val="0"/>
              </w:rPr>
              <w:t>2.7</w:t>
            </w:r>
          </w:p>
        </w:tc>
      </w:tr>
      <w:tr w14:paraId="7B73C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vAlign w:val="center"/>
          </w:tcPr>
          <w:p w14:paraId="70FE5BEF">
            <w:pPr>
              <w:widowControl/>
              <w:jc w:val="center"/>
              <w:rPr>
                <w:rFonts w:ascii="宋体" w:hAnsi="宋体" w:cs="宋体"/>
                <w:color w:val="000000"/>
                <w:kern w:val="0"/>
              </w:rPr>
            </w:pPr>
          </w:p>
        </w:tc>
        <w:tc>
          <w:tcPr>
            <w:tcW w:w="1658" w:type="dxa"/>
            <w:vMerge w:val="continue"/>
            <w:vAlign w:val="center"/>
          </w:tcPr>
          <w:p w14:paraId="592B0C8F">
            <w:pPr>
              <w:widowControl/>
              <w:jc w:val="center"/>
              <w:rPr>
                <w:rFonts w:ascii="宋体" w:hAnsi="宋体" w:cs="宋体"/>
                <w:color w:val="000000"/>
                <w:kern w:val="0"/>
              </w:rPr>
            </w:pPr>
          </w:p>
        </w:tc>
        <w:tc>
          <w:tcPr>
            <w:tcW w:w="4497" w:type="dxa"/>
            <w:vAlign w:val="center"/>
          </w:tcPr>
          <w:p w14:paraId="146AE2F6">
            <w:pPr>
              <w:widowControl/>
              <w:rPr>
                <w:rFonts w:ascii="宋体" w:hAnsi="宋体" w:cs="宋体"/>
                <w:color w:val="000000"/>
                <w:kern w:val="0"/>
              </w:rPr>
            </w:pPr>
            <w:r>
              <w:rPr>
                <w:rFonts w:hint="eastAsia" w:ascii="宋体" w:hAnsi="宋体" w:cs="宋体"/>
                <w:color w:val="000000"/>
                <w:kern w:val="0"/>
              </w:rPr>
              <w:t>“历史业务”中进口业务贸易术语使用种类数量，使用一种得0.3分，9种得满分。</w:t>
            </w:r>
          </w:p>
        </w:tc>
        <w:tc>
          <w:tcPr>
            <w:tcW w:w="704" w:type="dxa"/>
            <w:vAlign w:val="center"/>
          </w:tcPr>
          <w:p w14:paraId="16A2C6D7">
            <w:pPr>
              <w:widowControl/>
              <w:jc w:val="center"/>
              <w:rPr>
                <w:rFonts w:ascii="宋体" w:hAnsi="宋体" w:cs="宋体"/>
                <w:color w:val="000000"/>
                <w:kern w:val="0"/>
              </w:rPr>
            </w:pPr>
            <w:r>
              <w:rPr>
                <w:rFonts w:hint="eastAsia" w:ascii="宋体" w:hAnsi="宋体" w:cs="宋体"/>
                <w:color w:val="000000"/>
                <w:kern w:val="0"/>
              </w:rPr>
              <w:t>2.7</w:t>
            </w:r>
          </w:p>
        </w:tc>
      </w:tr>
      <w:tr w14:paraId="17A1D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vAlign w:val="center"/>
          </w:tcPr>
          <w:p w14:paraId="2D9CA441">
            <w:pPr>
              <w:widowControl/>
              <w:jc w:val="center"/>
              <w:rPr>
                <w:rFonts w:ascii="宋体" w:hAnsi="宋体" w:cs="宋体"/>
                <w:kern w:val="0"/>
              </w:rPr>
            </w:pPr>
          </w:p>
        </w:tc>
        <w:tc>
          <w:tcPr>
            <w:tcW w:w="1658" w:type="dxa"/>
            <w:vMerge w:val="restart"/>
            <w:vAlign w:val="center"/>
          </w:tcPr>
          <w:p w14:paraId="48FB190A">
            <w:pPr>
              <w:widowControl/>
              <w:jc w:val="center"/>
              <w:rPr>
                <w:rFonts w:ascii="宋体" w:hAnsi="宋体" w:cs="宋体"/>
                <w:kern w:val="0"/>
              </w:rPr>
            </w:pPr>
            <w:r>
              <w:rPr>
                <w:rFonts w:hint="eastAsia" w:ascii="宋体" w:hAnsi="宋体" w:cs="宋体"/>
                <w:kern w:val="0"/>
              </w:rPr>
              <w:t>主要结算方式的掌握和运用</w:t>
            </w:r>
          </w:p>
        </w:tc>
        <w:tc>
          <w:tcPr>
            <w:tcW w:w="4497" w:type="dxa"/>
            <w:vAlign w:val="center"/>
          </w:tcPr>
          <w:p w14:paraId="5763B692">
            <w:pPr>
              <w:widowControl/>
              <w:rPr>
                <w:rFonts w:ascii="宋体" w:hAnsi="宋体" w:cs="宋体"/>
                <w:kern w:val="0"/>
              </w:rPr>
            </w:pPr>
            <w:r>
              <w:rPr>
                <w:rFonts w:hint="eastAsia" w:ascii="宋体" w:hAnsi="宋体" w:cs="宋体"/>
                <w:kern w:val="0"/>
              </w:rPr>
              <w:t>“历史业务”中出口业务结算方式使用种类数量，使用一种得0.</w:t>
            </w:r>
            <w:r>
              <w:rPr>
                <w:rFonts w:ascii="宋体" w:hAnsi="宋体" w:cs="宋体"/>
                <w:kern w:val="0"/>
              </w:rPr>
              <w:t>2</w:t>
            </w:r>
            <w:r>
              <w:rPr>
                <w:rFonts w:hint="eastAsia" w:ascii="宋体" w:hAnsi="宋体" w:cs="宋体"/>
                <w:kern w:val="0"/>
              </w:rPr>
              <w:t>5分，5种得满分。</w:t>
            </w:r>
          </w:p>
        </w:tc>
        <w:tc>
          <w:tcPr>
            <w:tcW w:w="704" w:type="dxa"/>
            <w:vAlign w:val="center"/>
          </w:tcPr>
          <w:p w14:paraId="5FF00FAC">
            <w:pPr>
              <w:widowControl/>
              <w:jc w:val="center"/>
              <w:rPr>
                <w:rFonts w:ascii="宋体" w:hAnsi="宋体" w:cs="宋体"/>
                <w:kern w:val="0"/>
              </w:rPr>
            </w:pPr>
            <w:r>
              <w:rPr>
                <w:rFonts w:ascii="宋体" w:hAnsi="宋体" w:cs="宋体"/>
                <w:kern w:val="0"/>
              </w:rPr>
              <w:t>1.25</w:t>
            </w:r>
          </w:p>
        </w:tc>
      </w:tr>
      <w:tr w14:paraId="5F733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vAlign w:val="center"/>
          </w:tcPr>
          <w:p w14:paraId="6105E8AD">
            <w:pPr>
              <w:widowControl/>
              <w:jc w:val="center"/>
              <w:rPr>
                <w:rFonts w:ascii="宋体" w:hAnsi="宋体" w:cs="宋体"/>
                <w:kern w:val="0"/>
              </w:rPr>
            </w:pPr>
          </w:p>
        </w:tc>
        <w:tc>
          <w:tcPr>
            <w:tcW w:w="1658" w:type="dxa"/>
            <w:vMerge w:val="continue"/>
            <w:vAlign w:val="center"/>
          </w:tcPr>
          <w:p w14:paraId="28252573">
            <w:pPr>
              <w:widowControl/>
              <w:jc w:val="center"/>
              <w:rPr>
                <w:rFonts w:ascii="宋体" w:hAnsi="宋体" w:cs="宋体"/>
                <w:kern w:val="0"/>
              </w:rPr>
            </w:pPr>
          </w:p>
        </w:tc>
        <w:tc>
          <w:tcPr>
            <w:tcW w:w="4497" w:type="dxa"/>
            <w:vAlign w:val="center"/>
          </w:tcPr>
          <w:p w14:paraId="588A88C9">
            <w:pPr>
              <w:widowControl/>
              <w:rPr>
                <w:rFonts w:ascii="宋体" w:hAnsi="宋体" w:cs="宋体"/>
                <w:kern w:val="0"/>
              </w:rPr>
            </w:pPr>
            <w:r>
              <w:rPr>
                <w:rFonts w:hint="eastAsia" w:ascii="宋体" w:hAnsi="宋体" w:cs="宋体"/>
                <w:kern w:val="0"/>
              </w:rPr>
              <w:t>“历史业务”中进口业务结算方式使用种类数量，使用一种得0.</w:t>
            </w:r>
            <w:r>
              <w:rPr>
                <w:rFonts w:ascii="宋体" w:hAnsi="宋体" w:cs="宋体"/>
                <w:kern w:val="0"/>
              </w:rPr>
              <w:t>2</w:t>
            </w:r>
            <w:r>
              <w:rPr>
                <w:rFonts w:hint="eastAsia" w:ascii="宋体" w:hAnsi="宋体" w:cs="宋体"/>
                <w:kern w:val="0"/>
              </w:rPr>
              <w:t>5分，5种得满分。</w:t>
            </w:r>
          </w:p>
        </w:tc>
        <w:tc>
          <w:tcPr>
            <w:tcW w:w="704" w:type="dxa"/>
            <w:vAlign w:val="center"/>
          </w:tcPr>
          <w:p w14:paraId="6C5F3A31">
            <w:pPr>
              <w:widowControl/>
              <w:jc w:val="center"/>
              <w:rPr>
                <w:rFonts w:ascii="宋体" w:hAnsi="宋体" w:cs="宋体"/>
                <w:kern w:val="0"/>
              </w:rPr>
            </w:pPr>
            <w:r>
              <w:rPr>
                <w:rFonts w:ascii="宋体" w:hAnsi="宋体" w:cs="宋体"/>
                <w:kern w:val="0"/>
              </w:rPr>
              <w:t>1.25</w:t>
            </w:r>
          </w:p>
        </w:tc>
      </w:tr>
      <w:tr w14:paraId="7C70B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vAlign w:val="center"/>
          </w:tcPr>
          <w:p w14:paraId="6B89BEF8">
            <w:pPr>
              <w:widowControl/>
              <w:jc w:val="center"/>
              <w:rPr>
                <w:rFonts w:ascii="宋体" w:hAnsi="宋体" w:cs="宋体"/>
                <w:kern w:val="0"/>
              </w:rPr>
            </w:pPr>
          </w:p>
        </w:tc>
        <w:tc>
          <w:tcPr>
            <w:tcW w:w="1658" w:type="dxa"/>
            <w:vMerge w:val="restart"/>
            <w:vAlign w:val="center"/>
          </w:tcPr>
          <w:p w14:paraId="0BD84FD1">
            <w:pPr>
              <w:widowControl/>
              <w:jc w:val="center"/>
              <w:rPr>
                <w:rFonts w:ascii="宋体" w:hAnsi="宋体" w:cs="宋体"/>
                <w:kern w:val="0"/>
              </w:rPr>
            </w:pPr>
            <w:r>
              <w:rPr>
                <w:rFonts w:hint="eastAsia" w:ascii="宋体" w:hAnsi="宋体" w:cs="宋体"/>
                <w:kern w:val="0"/>
              </w:rPr>
              <w:t>海运、空运两种运输方式的合理运用</w:t>
            </w:r>
          </w:p>
        </w:tc>
        <w:tc>
          <w:tcPr>
            <w:tcW w:w="4497" w:type="dxa"/>
            <w:vAlign w:val="center"/>
          </w:tcPr>
          <w:p w14:paraId="308DA202">
            <w:pPr>
              <w:widowControl/>
              <w:rPr>
                <w:rFonts w:ascii="宋体" w:hAnsi="宋体" w:cs="宋体"/>
                <w:kern w:val="0"/>
              </w:rPr>
            </w:pPr>
            <w:r>
              <w:rPr>
                <w:rFonts w:hint="eastAsia" w:ascii="宋体" w:hAnsi="宋体" w:cs="宋体"/>
                <w:kern w:val="0"/>
              </w:rPr>
              <w:t>“历史业务”中海运业务的数量，每笔0.</w:t>
            </w:r>
            <w:r>
              <w:rPr>
                <w:rFonts w:ascii="宋体" w:hAnsi="宋体" w:cs="宋体"/>
                <w:kern w:val="0"/>
              </w:rPr>
              <w:t>2</w:t>
            </w:r>
            <w:r>
              <w:rPr>
                <w:rFonts w:hint="eastAsia" w:ascii="宋体" w:hAnsi="宋体" w:cs="宋体"/>
                <w:kern w:val="0"/>
              </w:rPr>
              <w:t>5分，</w:t>
            </w:r>
            <w:r>
              <w:rPr>
                <w:rFonts w:ascii="宋体" w:hAnsi="宋体" w:cs="宋体"/>
                <w:kern w:val="0"/>
              </w:rPr>
              <w:t>12</w:t>
            </w:r>
            <w:r>
              <w:rPr>
                <w:rFonts w:hint="eastAsia" w:ascii="宋体" w:hAnsi="宋体" w:cs="宋体"/>
                <w:kern w:val="0"/>
              </w:rPr>
              <w:t>笔满分。</w:t>
            </w:r>
          </w:p>
        </w:tc>
        <w:tc>
          <w:tcPr>
            <w:tcW w:w="704" w:type="dxa"/>
            <w:vAlign w:val="center"/>
          </w:tcPr>
          <w:p w14:paraId="511D2280">
            <w:pPr>
              <w:widowControl/>
              <w:jc w:val="center"/>
              <w:rPr>
                <w:rFonts w:ascii="宋体" w:hAnsi="宋体" w:cs="宋体"/>
                <w:kern w:val="0"/>
              </w:rPr>
            </w:pPr>
            <w:r>
              <w:rPr>
                <w:rFonts w:ascii="宋体" w:hAnsi="宋体" w:cs="宋体"/>
                <w:kern w:val="0"/>
              </w:rPr>
              <w:t>3</w:t>
            </w:r>
          </w:p>
        </w:tc>
      </w:tr>
      <w:tr w14:paraId="580E1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vAlign w:val="center"/>
          </w:tcPr>
          <w:p w14:paraId="29CB5679">
            <w:pPr>
              <w:widowControl/>
              <w:jc w:val="center"/>
              <w:rPr>
                <w:rFonts w:ascii="宋体" w:hAnsi="宋体" w:cs="宋体"/>
                <w:kern w:val="0"/>
              </w:rPr>
            </w:pPr>
          </w:p>
        </w:tc>
        <w:tc>
          <w:tcPr>
            <w:tcW w:w="1658" w:type="dxa"/>
            <w:vMerge w:val="continue"/>
            <w:vAlign w:val="center"/>
          </w:tcPr>
          <w:p w14:paraId="5509288A">
            <w:pPr>
              <w:widowControl/>
              <w:jc w:val="center"/>
              <w:rPr>
                <w:rFonts w:ascii="宋体" w:hAnsi="宋体" w:cs="宋体"/>
                <w:kern w:val="0"/>
              </w:rPr>
            </w:pPr>
          </w:p>
        </w:tc>
        <w:tc>
          <w:tcPr>
            <w:tcW w:w="4497" w:type="dxa"/>
            <w:vAlign w:val="center"/>
          </w:tcPr>
          <w:p w14:paraId="7CA318D2">
            <w:pPr>
              <w:widowControl/>
              <w:rPr>
                <w:rFonts w:ascii="宋体" w:hAnsi="宋体" w:cs="宋体"/>
                <w:kern w:val="0"/>
              </w:rPr>
            </w:pPr>
            <w:r>
              <w:rPr>
                <w:rFonts w:hint="eastAsia" w:ascii="宋体" w:hAnsi="宋体" w:cs="宋体"/>
                <w:kern w:val="0"/>
              </w:rPr>
              <w:t>“历史业务”中空运业务的数量，每笔0.</w:t>
            </w:r>
            <w:r>
              <w:rPr>
                <w:rFonts w:ascii="宋体" w:hAnsi="宋体" w:cs="宋体"/>
                <w:kern w:val="0"/>
              </w:rPr>
              <w:t>5</w:t>
            </w:r>
            <w:r>
              <w:rPr>
                <w:rFonts w:hint="eastAsia" w:ascii="宋体" w:hAnsi="宋体" w:cs="宋体"/>
                <w:kern w:val="0"/>
              </w:rPr>
              <w:t>分，</w:t>
            </w:r>
            <w:r>
              <w:rPr>
                <w:rFonts w:ascii="宋体" w:hAnsi="宋体" w:cs="宋体"/>
                <w:kern w:val="0"/>
              </w:rPr>
              <w:t>8</w:t>
            </w:r>
            <w:r>
              <w:rPr>
                <w:rFonts w:hint="eastAsia" w:ascii="宋体" w:hAnsi="宋体" w:cs="宋体"/>
                <w:kern w:val="0"/>
              </w:rPr>
              <w:t>笔满分。</w:t>
            </w:r>
          </w:p>
        </w:tc>
        <w:tc>
          <w:tcPr>
            <w:tcW w:w="704" w:type="dxa"/>
            <w:vAlign w:val="center"/>
          </w:tcPr>
          <w:p w14:paraId="18ADD088">
            <w:pPr>
              <w:widowControl/>
              <w:jc w:val="center"/>
              <w:rPr>
                <w:rFonts w:ascii="宋体" w:hAnsi="宋体" w:cs="宋体"/>
                <w:kern w:val="0"/>
              </w:rPr>
            </w:pPr>
            <w:r>
              <w:rPr>
                <w:rFonts w:ascii="宋体" w:hAnsi="宋体" w:cs="宋体"/>
                <w:kern w:val="0"/>
              </w:rPr>
              <w:t>4</w:t>
            </w:r>
          </w:p>
        </w:tc>
      </w:tr>
      <w:tr w14:paraId="7D7F6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restart"/>
            <w:vAlign w:val="center"/>
          </w:tcPr>
          <w:p w14:paraId="0C4FED0A">
            <w:pPr>
              <w:widowControl/>
              <w:jc w:val="center"/>
              <w:rPr>
                <w:rFonts w:ascii="宋体" w:hAnsi="宋体" w:cs="宋体"/>
                <w:color w:val="000000"/>
                <w:kern w:val="0"/>
              </w:rPr>
            </w:pPr>
            <w:r>
              <w:rPr>
                <w:rFonts w:hint="eastAsia" w:ascii="宋体" w:hAnsi="宋体" w:cs="宋体"/>
                <w:color w:val="000000"/>
                <w:kern w:val="0"/>
              </w:rPr>
              <w:t>盈利能力</w:t>
            </w:r>
          </w:p>
          <w:p w14:paraId="62615653">
            <w:pPr>
              <w:widowControl/>
              <w:jc w:val="center"/>
              <w:rPr>
                <w:rFonts w:ascii="宋体" w:hAnsi="宋体" w:cs="宋体"/>
                <w:color w:val="000000"/>
                <w:kern w:val="0"/>
              </w:rPr>
            </w:pPr>
            <w:r>
              <w:rPr>
                <w:rFonts w:hint="eastAsia" w:ascii="宋体" w:hAnsi="宋体" w:cs="宋体"/>
                <w:color w:val="000000"/>
                <w:kern w:val="0"/>
              </w:rPr>
              <w:t>（共</w:t>
            </w:r>
            <w:r>
              <w:rPr>
                <w:rFonts w:ascii="宋体" w:hAnsi="宋体" w:cs="宋体"/>
                <w:color w:val="000000"/>
                <w:kern w:val="0"/>
              </w:rPr>
              <w:t>3</w:t>
            </w:r>
            <w:r>
              <w:rPr>
                <w:rFonts w:hint="eastAsia" w:ascii="宋体" w:hAnsi="宋体" w:cs="宋体"/>
                <w:color w:val="000000"/>
                <w:kern w:val="0"/>
              </w:rPr>
              <w:t>4.6分）</w:t>
            </w:r>
          </w:p>
        </w:tc>
        <w:tc>
          <w:tcPr>
            <w:tcW w:w="1658" w:type="dxa"/>
            <w:vAlign w:val="center"/>
          </w:tcPr>
          <w:p w14:paraId="5C3BE63B">
            <w:pPr>
              <w:widowControl/>
              <w:jc w:val="center"/>
              <w:rPr>
                <w:rFonts w:ascii="宋体" w:hAnsi="宋体" w:cs="宋体"/>
                <w:color w:val="000000"/>
                <w:kern w:val="0"/>
              </w:rPr>
            </w:pPr>
            <w:r>
              <w:rPr>
                <w:rFonts w:hint="eastAsia" w:ascii="宋体" w:hAnsi="宋体" w:cs="宋体"/>
                <w:color w:val="000000"/>
                <w:kern w:val="0"/>
              </w:rPr>
              <w:t>公司盈利能力</w:t>
            </w:r>
          </w:p>
        </w:tc>
        <w:tc>
          <w:tcPr>
            <w:tcW w:w="4497" w:type="dxa"/>
            <w:vAlign w:val="center"/>
          </w:tcPr>
          <w:p w14:paraId="6F9DBDBB">
            <w:pPr>
              <w:widowControl/>
              <w:rPr>
                <w:rFonts w:ascii="宋体" w:hAnsi="宋体" w:cs="宋体"/>
                <w:color w:val="000000"/>
                <w:kern w:val="0"/>
              </w:rPr>
            </w:pPr>
            <w:r>
              <w:rPr>
                <w:rFonts w:hint="eastAsia" w:ascii="宋体" w:hAnsi="宋体" w:cs="宋体"/>
                <w:color w:val="000000"/>
                <w:kern w:val="0"/>
              </w:rPr>
              <w:t>公司盈利率=（当前资金－初始资金）/初始资金=每笔业务盈亏额之和/初始资金</w:t>
            </w:r>
          </w:p>
          <w:p w14:paraId="66D6769A">
            <w:pPr>
              <w:widowControl/>
              <w:rPr>
                <w:rFonts w:ascii="宋体" w:hAnsi="宋体" w:cs="宋体"/>
                <w:color w:val="000000"/>
                <w:kern w:val="0"/>
              </w:rPr>
            </w:pPr>
            <w:r>
              <w:rPr>
                <w:rFonts w:hint="eastAsia" w:ascii="宋体" w:hAnsi="宋体" w:cs="宋体"/>
                <w:color w:val="000000"/>
                <w:kern w:val="0"/>
              </w:rPr>
              <w:t>每笔业务盈亏额为“历史业务”中预算表实际发生额一栏的“预期盈亏额”。</w:t>
            </w:r>
          </w:p>
          <w:p w14:paraId="1B42EDE0">
            <w:pPr>
              <w:widowControl/>
              <w:rPr>
                <w:rFonts w:ascii="宋体" w:hAnsi="宋体" w:cs="宋体"/>
                <w:color w:val="000000"/>
                <w:kern w:val="0"/>
              </w:rPr>
            </w:pPr>
            <w:r>
              <w:rPr>
                <w:rFonts w:hint="eastAsia" w:ascii="宋体" w:hAnsi="宋体" w:cs="宋体"/>
                <w:color w:val="000000"/>
                <w:kern w:val="0"/>
              </w:rPr>
              <w:t>公司盈利率小于等于0则此项得分为0；公司盈利率越高，此项得分越高，达到</w:t>
            </w:r>
            <w:r>
              <w:rPr>
                <w:rFonts w:ascii="宋体" w:hAnsi="宋体" w:cs="宋体"/>
                <w:color w:val="000000"/>
                <w:kern w:val="0"/>
              </w:rPr>
              <w:t>900</w:t>
            </w:r>
            <w:r>
              <w:rPr>
                <w:rFonts w:hint="eastAsia" w:ascii="宋体" w:hAnsi="宋体" w:cs="宋体"/>
                <w:color w:val="000000"/>
                <w:kern w:val="0"/>
              </w:rPr>
              <w:t>%得满分。</w:t>
            </w:r>
          </w:p>
          <w:p w14:paraId="6DC83A7D">
            <w:pPr>
              <w:widowControl/>
              <w:rPr>
                <w:rFonts w:ascii="宋体" w:hAnsi="宋体" w:cs="宋体"/>
                <w:color w:val="000000"/>
                <w:kern w:val="0"/>
              </w:rPr>
            </w:pPr>
          </w:p>
          <w:p w14:paraId="578AB010">
            <w:pPr>
              <w:widowControl/>
              <w:rPr>
                <w:rFonts w:ascii="宋体" w:hAnsi="宋体" w:cs="宋体"/>
                <w:color w:val="000000"/>
                <w:kern w:val="0"/>
              </w:rPr>
            </w:pPr>
            <w:r>
              <w:rPr>
                <w:rFonts w:hint="eastAsia" w:ascii="宋体" w:hAnsi="宋体" w:cs="宋体"/>
                <w:color w:val="000000"/>
                <w:kern w:val="0"/>
              </w:rPr>
              <w:t>评分结果举例：</w:t>
            </w:r>
          </w:p>
          <w:p w14:paraId="6EE4E2C9">
            <w:pPr>
              <w:widowControl/>
              <w:rPr>
                <w:rFonts w:ascii="宋体" w:hAnsi="宋体" w:cs="宋体"/>
                <w:color w:val="000000"/>
                <w:kern w:val="0"/>
              </w:rPr>
            </w:pPr>
            <w:r>
              <w:rPr>
                <w:rFonts w:hint="eastAsia" w:ascii="宋体" w:hAnsi="宋体" w:cs="宋体"/>
                <w:color w:val="000000"/>
                <w:kern w:val="0"/>
              </w:rPr>
              <w:t>公司盈利率为100%，得2.02分</w:t>
            </w:r>
          </w:p>
          <w:p w14:paraId="69890FB0">
            <w:pPr>
              <w:widowControl/>
              <w:rPr>
                <w:rFonts w:ascii="宋体" w:hAnsi="宋体" w:cs="宋体"/>
                <w:color w:val="000000"/>
                <w:kern w:val="0"/>
              </w:rPr>
            </w:pPr>
            <w:r>
              <w:rPr>
                <w:rFonts w:hint="eastAsia" w:ascii="宋体" w:hAnsi="宋体" w:cs="宋体"/>
                <w:color w:val="000000"/>
                <w:kern w:val="0"/>
              </w:rPr>
              <w:t>公司盈利率为200%，得3.77分</w:t>
            </w:r>
          </w:p>
          <w:p w14:paraId="5F0309A1">
            <w:pPr>
              <w:widowControl/>
              <w:rPr>
                <w:rFonts w:ascii="宋体" w:hAnsi="宋体" w:cs="宋体"/>
                <w:color w:val="000000"/>
                <w:kern w:val="0"/>
              </w:rPr>
            </w:pPr>
            <w:r>
              <w:rPr>
                <w:rFonts w:hint="eastAsia" w:ascii="宋体" w:hAnsi="宋体" w:cs="宋体"/>
                <w:color w:val="000000"/>
                <w:kern w:val="0"/>
              </w:rPr>
              <w:t>公司盈利率为300%，得5.43分</w:t>
            </w:r>
          </w:p>
          <w:p w14:paraId="3D53B2A0">
            <w:pPr>
              <w:widowControl/>
              <w:rPr>
                <w:rFonts w:ascii="宋体" w:hAnsi="宋体" w:cs="宋体"/>
                <w:color w:val="000000"/>
                <w:kern w:val="0"/>
              </w:rPr>
            </w:pPr>
            <w:r>
              <w:rPr>
                <w:rFonts w:hint="eastAsia" w:ascii="宋体" w:hAnsi="宋体" w:cs="宋体"/>
                <w:color w:val="000000"/>
                <w:kern w:val="0"/>
              </w:rPr>
              <w:t>公司盈利率为400%，得7.04分</w:t>
            </w:r>
          </w:p>
          <w:p w14:paraId="17A5C5CC">
            <w:pPr>
              <w:widowControl/>
              <w:rPr>
                <w:rFonts w:ascii="宋体" w:hAnsi="宋体" w:cs="宋体"/>
                <w:color w:val="000000"/>
                <w:kern w:val="0"/>
              </w:rPr>
            </w:pPr>
            <w:r>
              <w:rPr>
                <w:rFonts w:hint="eastAsia" w:ascii="宋体" w:hAnsi="宋体" w:cs="宋体"/>
                <w:color w:val="000000"/>
                <w:kern w:val="0"/>
              </w:rPr>
              <w:t>公司盈利率为500%，得8.6分</w:t>
            </w:r>
          </w:p>
          <w:p w14:paraId="0594875C">
            <w:pPr>
              <w:widowControl/>
              <w:rPr>
                <w:rFonts w:ascii="宋体" w:hAnsi="宋体" w:cs="宋体"/>
                <w:color w:val="000000"/>
                <w:kern w:val="0"/>
              </w:rPr>
            </w:pPr>
            <w:r>
              <w:rPr>
                <w:rFonts w:hint="eastAsia" w:ascii="宋体" w:hAnsi="宋体" w:cs="宋体"/>
                <w:color w:val="000000"/>
                <w:kern w:val="0"/>
              </w:rPr>
              <w:t>公司盈利率为600%，得10.14分</w:t>
            </w:r>
          </w:p>
          <w:p w14:paraId="29555FA4">
            <w:pPr>
              <w:widowControl/>
              <w:rPr>
                <w:rFonts w:ascii="宋体" w:hAnsi="宋体" w:cs="宋体"/>
                <w:color w:val="000000"/>
                <w:kern w:val="0"/>
              </w:rPr>
            </w:pPr>
            <w:r>
              <w:rPr>
                <w:rFonts w:hint="eastAsia" w:ascii="宋体" w:hAnsi="宋体" w:cs="宋体"/>
                <w:color w:val="000000"/>
                <w:kern w:val="0"/>
              </w:rPr>
              <w:t>公司盈利率为700%，得11.64分</w:t>
            </w:r>
          </w:p>
          <w:p w14:paraId="45277614">
            <w:pPr>
              <w:widowControl/>
              <w:rPr>
                <w:rFonts w:ascii="宋体" w:hAnsi="宋体" w:cs="宋体"/>
                <w:color w:val="000000"/>
                <w:kern w:val="0"/>
              </w:rPr>
            </w:pPr>
            <w:r>
              <w:rPr>
                <w:rFonts w:hint="eastAsia" w:ascii="宋体" w:hAnsi="宋体" w:cs="宋体"/>
                <w:color w:val="000000"/>
                <w:kern w:val="0"/>
              </w:rPr>
              <w:t>公司盈利率为800%，得13.13分</w:t>
            </w:r>
          </w:p>
          <w:p w14:paraId="623E491F">
            <w:pPr>
              <w:widowControl/>
              <w:rPr>
                <w:rFonts w:ascii="宋体" w:hAnsi="宋体" w:cs="宋体"/>
                <w:color w:val="000000"/>
                <w:kern w:val="0"/>
              </w:rPr>
            </w:pPr>
            <w:r>
              <w:rPr>
                <w:rFonts w:hint="eastAsia" w:ascii="宋体" w:hAnsi="宋体" w:cs="宋体"/>
                <w:color w:val="000000"/>
                <w:kern w:val="0"/>
              </w:rPr>
              <w:t>公司盈利率为900%，得14.6分</w:t>
            </w:r>
          </w:p>
        </w:tc>
        <w:tc>
          <w:tcPr>
            <w:tcW w:w="704" w:type="dxa"/>
            <w:vAlign w:val="center"/>
          </w:tcPr>
          <w:p w14:paraId="29D7F410">
            <w:pPr>
              <w:widowControl/>
              <w:jc w:val="center"/>
              <w:rPr>
                <w:rFonts w:ascii="宋体" w:hAnsi="宋体" w:cs="宋体"/>
                <w:color w:val="000000"/>
                <w:kern w:val="0"/>
              </w:rPr>
            </w:pPr>
            <w:r>
              <w:rPr>
                <w:rFonts w:ascii="宋体" w:hAnsi="宋体" w:cs="宋体"/>
                <w:color w:val="000000"/>
                <w:kern w:val="0"/>
              </w:rPr>
              <w:t>1</w:t>
            </w:r>
            <w:r>
              <w:rPr>
                <w:rFonts w:hint="eastAsia" w:ascii="宋体" w:hAnsi="宋体" w:cs="宋体"/>
                <w:color w:val="000000"/>
                <w:kern w:val="0"/>
              </w:rPr>
              <w:t>4.6</w:t>
            </w:r>
          </w:p>
        </w:tc>
      </w:tr>
      <w:tr w14:paraId="3DD28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vAlign w:val="center"/>
          </w:tcPr>
          <w:p w14:paraId="2F408A5F">
            <w:pPr>
              <w:widowControl/>
              <w:jc w:val="center"/>
              <w:rPr>
                <w:rFonts w:ascii="宋体" w:hAnsi="宋体" w:cs="宋体"/>
                <w:kern w:val="0"/>
              </w:rPr>
            </w:pPr>
          </w:p>
        </w:tc>
        <w:tc>
          <w:tcPr>
            <w:tcW w:w="1658" w:type="dxa"/>
            <w:vAlign w:val="center"/>
          </w:tcPr>
          <w:p w14:paraId="4A203B19">
            <w:pPr>
              <w:widowControl/>
              <w:jc w:val="center"/>
              <w:rPr>
                <w:rFonts w:ascii="宋体" w:hAnsi="宋体" w:cs="宋体"/>
                <w:kern w:val="0"/>
              </w:rPr>
            </w:pPr>
            <w:r>
              <w:rPr>
                <w:rFonts w:hint="eastAsia" w:ascii="宋体" w:hAnsi="宋体" w:cs="宋体"/>
                <w:kern w:val="0"/>
              </w:rPr>
              <w:t>业务利润率</w:t>
            </w:r>
          </w:p>
        </w:tc>
        <w:tc>
          <w:tcPr>
            <w:tcW w:w="4497" w:type="dxa"/>
            <w:vAlign w:val="center"/>
          </w:tcPr>
          <w:p w14:paraId="7B049C05">
            <w:pPr>
              <w:widowControl/>
              <w:rPr>
                <w:rFonts w:ascii="宋体" w:hAnsi="宋体" w:cs="宋体"/>
                <w:kern w:val="0"/>
              </w:rPr>
            </w:pPr>
            <w:r>
              <w:rPr>
                <w:rFonts w:hint="eastAsia" w:ascii="宋体" w:hAnsi="宋体" w:cs="宋体"/>
                <w:kern w:val="0"/>
              </w:rPr>
              <w:t>此项得分为“历史业务”中的每笔进出口业务的“业务利润率”得分的平均分。</w:t>
            </w:r>
          </w:p>
          <w:p w14:paraId="561F57D6">
            <w:pPr>
              <w:widowControl/>
              <w:rPr>
                <w:rFonts w:ascii="宋体" w:hAnsi="宋体" w:cs="宋体"/>
                <w:kern w:val="0"/>
              </w:rPr>
            </w:pPr>
            <w:r>
              <w:rPr>
                <w:rFonts w:hint="eastAsia" w:ascii="宋体" w:hAnsi="宋体" w:cs="宋体"/>
                <w:kern w:val="0"/>
              </w:rPr>
              <w:t>每笔业务的“业务利润率”得分根据该业务预算表实际发生额一栏中“预期盈亏率”来评分，数值越大则分数越高，达到</w:t>
            </w:r>
            <w:r>
              <w:rPr>
                <w:rFonts w:ascii="宋体" w:hAnsi="宋体" w:cs="宋体"/>
                <w:kern w:val="0"/>
              </w:rPr>
              <w:t>5</w:t>
            </w:r>
            <w:r>
              <w:rPr>
                <w:rFonts w:hint="eastAsia" w:ascii="宋体" w:hAnsi="宋体" w:cs="宋体"/>
                <w:kern w:val="0"/>
              </w:rPr>
              <w:t>0%得满分。</w:t>
            </w:r>
          </w:p>
          <w:p w14:paraId="6E8AE505">
            <w:pPr>
              <w:widowControl/>
              <w:rPr>
                <w:rFonts w:ascii="宋体" w:hAnsi="宋体" w:cs="宋体"/>
                <w:kern w:val="0"/>
              </w:rPr>
            </w:pPr>
          </w:p>
          <w:p w14:paraId="0B39891B">
            <w:pPr>
              <w:widowControl/>
              <w:rPr>
                <w:rFonts w:ascii="宋体" w:hAnsi="宋体" w:cs="宋体"/>
                <w:kern w:val="0"/>
              </w:rPr>
            </w:pPr>
            <w:r>
              <w:rPr>
                <w:rFonts w:hint="eastAsia" w:ascii="宋体" w:hAnsi="宋体" w:cs="宋体"/>
                <w:kern w:val="0"/>
              </w:rPr>
              <w:t>每笔业务的评分结果举例：</w:t>
            </w:r>
          </w:p>
          <w:p w14:paraId="746CAB5A">
            <w:pPr>
              <w:widowControl/>
              <w:rPr>
                <w:rFonts w:ascii="宋体" w:hAnsi="宋体" w:cs="宋体"/>
                <w:kern w:val="0"/>
              </w:rPr>
            </w:pPr>
            <w:r>
              <w:rPr>
                <w:rFonts w:hint="eastAsia" w:ascii="宋体" w:hAnsi="宋体" w:cs="宋体"/>
                <w:kern w:val="0"/>
              </w:rPr>
              <w:t>业务利润率为5%，得2.52分</w:t>
            </w:r>
          </w:p>
          <w:p w14:paraId="0C8D8D3C">
            <w:pPr>
              <w:widowControl/>
              <w:rPr>
                <w:rFonts w:ascii="宋体" w:hAnsi="宋体" w:cs="宋体"/>
                <w:kern w:val="0"/>
              </w:rPr>
            </w:pPr>
            <w:r>
              <w:rPr>
                <w:rFonts w:hint="eastAsia" w:ascii="宋体" w:hAnsi="宋体" w:cs="宋体"/>
                <w:kern w:val="0"/>
              </w:rPr>
              <w:t>业务利润率为10%，得4.7分</w:t>
            </w:r>
          </w:p>
          <w:p w14:paraId="11276EC4">
            <w:pPr>
              <w:widowControl/>
              <w:rPr>
                <w:rFonts w:ascii="宋体" w:hAnsi="宋体" w:cs="宋体"/>
                <w:kern w:val="0"/>
              </w:rPr>
            </w:pPr>
            <w:r>
              <w:rPr>
                <w:rFonts w:hint="eastAsia" w:ascii="宋体" w:hAnsi="宋体" w:cs="宋体"/>
                <w:kern w:val="0"/>
              </w:rPr>
              <w:t>业务利润率为15%，得6.77分</w:t>
            </w:r>
          </w:p>
          <w:p w14:paraId="2E82EB52">
            <w:pPr>
              <w:widowControl/>
              <w:rPr>
                <w:rFonts w:ascii="宋体" w:hAnsi="宋体" w:cs="宋体"/>
                <w:kern w:val="0"/>
              </w:rPr>
            </w:pPr>
            <w:r>
              <w:rPr>
                <w:rFonts w:hint="eastAsia" w:ascii="宋体" w:hAnsi="宋体" w:cs="宋体"/>
                <w:kern w:val="0"/>
              </w:rPr>
              <w:t>业务利润率为20%，得8.77分</w:t>
            </w:r>
          </w:p>
          <w:p w14:paraId="70965701">
            <w:pPr>
              <w:widowControl/>
              <w:rPr>
                <w:rFonts w:ascii="宋体" w:hAnsi="宋体" w:cs="宋体"/>
                <w:kern w:val="0"/>
              </w:rPr>
            </w:pPr>
            <w:r>
              <w:rPr>
                <w:rFonts w:hint="eastAsia" w:ascii="宋体" w:hAnsi="宋体" w:cs="宋体"/>
                <w:kern w:val="0"/>
              </w:rPr>
              <w:t>业务利润率为25%，得10.72分</w:t>
            </w:r>
          </w:p>
          <w:p w14:paraId="031CBFA2">
            <w:pPr>
              <w:widowControl/>
              <w:rPr>
                <w:rFonts w:ascii="宋体" w:hAnsi="宋体" w:cs="宋体"/>
                <w:kern w:val="0"/>
              </w:rPr>
            </w:pPr>
            <w:r>
              <w:rPr>
                <w:rFonts w:hint="eastAsia" w:ascii="宋体" w:hAnsi="宋体" w:cs="宋体"/>
                <w:kern w:val="0"/>
              </w:rPr>
              <w:t>业务利润率为30%，得12.63分</w:t>
            </w:r>
          </w:p>
          <w:p w14:paraId="3896DB8E">
            <w:pPr>
              <w:widowControl/>
              <w:rPr>
                <w:rFonts w:ascii="宋体" w:hAnsi="宋体" w:cs="宋体"/>
                <w:kern w:val="0"/>
              </w:rPr>
            </w:pPr>
            <w:r>
              <w:rPr>
                <w:rFonts w:hint="eastAsia" w:ascii="宋体" w:hAnsi="宋体" w:cs="宋体"/>
                <w:kern w:val="0"/>
              </w:rPr>
              <w:t>业务利润率为35%，得14.51分</w:t>
            </w:r>
          </w:p>
          <w:p w14:paraId="774414A5">
            <w:pPr>
              <w:widowControl/>
              <w:rPr>
                <w:rFonts w:ascii="宋体" w:hAnsi="宋体" w:cs="宋体"/>
                <w:kern w:val="0"/>
              </w:rPr>
            </w:pPr>
            <w:r>
              <w:rPr>
                <w:rFonts w:hint="eastAsia" w:ascii="宋体" w:hAnsi="宋体" w:cs="宋体"/>
                <w:kern w:val="0"/>
              </w:rPr>
              <w:t>业务利润率为40%，得16.36分</w:t>
            </w:r>
          </w:p>
          <w:p w14:paraId="0216DFCC">
            <w:pPr>
              <w:widowControl/>
              <w:rPr>
                <w:rFonts w:ascii="宋体" w:hAnsi="宋体" w:cs="宋体"/>
                <w:kern w:val="0"/>
              </w:rPr>
            </w:pPr>
            <w:r>
              <w:rPr>
                <w:rFonts w:hint="eastAsia" w:ascii="宋体" w:hAnsi="宋体" w:cs="宋体"/>
                <w:kern w:val="0"/>
              </w:rPr>
              <w:t>业务利润率为45%，得18.19分</w:t>
            </w:r>
          </w:p>
          <w:p w14:paraId="79D2DAB1">
            <w:pPr>
              <w:widowControl/>
              <w:rPr>
                <w:rFonts w:ascii="宋体" w:hAnsi="宋体" w:cs="宋体"/>
                <w:kern w:val="0"/>
              </w:rPr>
            </w:pPr>
            <w:r>
              <w:rPr>
                <w:rFonts w:hint="eastAsia" w:ascii="宋体" w:hAnsi="宋体" w:cs="宋体"/>
                <w:kern w:val="0"/>
              </w:rPr>
              <w:t>业务利润率为50%，得20分</w:t>
            </w:r>
          </w:p>
          <w:p w14:paraId="16A8DA78">
            <w:pPr>
              <w:widowControl/>
              <w:rPr>
                <w:rFonts w:ascii="宋体" w:hAnsi="宋体" w:cs="宋体"/>
                <w:kern w:val="0"/>
              </w:rPr>
            </w:pPr>
          </w:p>
          <w:p w14:paraId="68075C02">
            <w:pPr>
              <w:widowControl/>
              <w:rPr>
                <w:rFonts w:ascii="宋体" w:hAnsi="宋体" w:cs="宋体"/>
                <w:kern w:val="0"/>
              </w:rPr>
            </w:pPr>
            <w:r>
              <w:rPr>
                <w:rFonts w:hint="eastAsia" w:ascii="宋体" w:hAnsi="宋体" w:cs="宋体"/>
                <w:kern w:val="0"/>
              </w:rPr>
              <w:t>例如：某同学一共完成3笔业务，业务一盈亏率为15%，业务二盈亏率为20%，业务三盈亏率为30%，则：</w:t>
            </w:r>
          </w:p>
          <w:p w14:paraId="693D26DE">
            <w:pPr>
              <w:widowControl/>
              <w:rPr>
                <w:rFonts w:ascii="宋体" w:hAnsi="宋体" w:cs="宋体"/>
                <w:kern w:val="0"/>
              </w:rPr>
            </w:pPr>
            <w:r>
              <w:rPr>
                <w:rFonts w:hint="eastAsia" w:ascii="宋体" w:hAnsi="宋体" w:cs="宋体"/>
                <w:kern w:val="0"/>
              </w:rPr>
              <w:t>业务利润率得分=（6.77+8.77+12.63）/3=9.39分</w:t>
            </w:r>
          </w:p>
        </w:tc>
        <w:tc>
          <w:tcPr>
            <w:tcW w:w="704" w:type="dxa"/>
            <w:vAlign w:val="center"/>
          </w:tcPr>
          <w:p w14:paraId="3199556C">
            <w:pPr>
              <w:widowControl/>
              <w:jc w:val="center"/>
              <w:rPr>
                <w:rFonts w:ascii="宋体" w:hAnsi="宋体" w:cs="宋体"/>
                <w:kern w:val="0"/>
              </w:rPr>
            </w:pPr>
            <w:r>
              <w:rPr>
                <w:rFonts w:ascii="宋体" w:hAnsi="宋体" w:cs="宋体"/>
                <w:kern w:val="0"/>
              </w:rPr>
              <w:t>20</w:t>
            </w:r>
          </w:p>
        </w:tc>
      </w:tr>
    </w:tbl>
    <w:p w14:paraId="6FA9AD9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9种贸易术语为：CIF、FOB、CFR、CIP、FCA、CPT、FAS、DAP、DPU</w:t>
      </w:r>
    </w:p>
    <w:p w14:paraId="6701F77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5种结算方式为：100%T/T、T/T（定金+尾款）、L/C、D/P、D/A</w:t>
      </w:r>
    </w:p>
    <w:p w14:paraId="39B5FE14">
      <w:pPr>
        <w:spacing w:line="6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2.外贸履约模块</w:t>
      </w:r>
    </w:p>
    <w:tbl>
      <w:tblPr>
        <w:tblStyle w:val="1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
        <w:gridCol w:w="6094"/>
        <w:gridCol w:w="1492"/>
      </w:tblGrid>
      <w:tr w14:paraId="286D5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blHeader/>
          <w:jc w:val="center"/>
        </w:trPr>
        <w:tc>
          <w:tcPr>
            <w:tcW w:w="936" w:type="dxa"/>
            <w:vAlign w:val="center"/>
          </w:tcPr>
          <w:p w14:paraId="1FB0BB1F">
            <w:pPr>
              <w:jc w:val="center"/>
              <w:rPr>
                <w:rFonts w:ascii="宋体" w:hAnsi="宋体"/>
                <w:b/>
              </w:rPr>
            </w:pPr>
            <w:r>
              <w:rPr>
                <w:rFonts w:hint="eastAsia" w:ascii="宋体" w:hAnsi="宋体"/>
                <w:b/>
              </w:rPr>
              <w:t>任务</w:t>
            </w:r>
          </w:p>
        </w:tc>
        <w:tc>
          <w:tcPr>
            <w:tcW w:w="6094" w:type="dxa"/>
            <w:vAlign w:val="center"/>
          </w:tcPr>
          <w:p w14:paraId="0CFCF261">
            <w:pPr>
              <w:jc w:val="center"/>
              <w:rPr>
                <w:rFonts w:ascii="宋体" w:hAnsi="宋体"/>
                <w:b/>
              </w:rPr>
            </w:pPr>
            <w:r>
              <w:rPr>
                <w:rFonts w:hint="eastAsia" w:ascii="宋体" w:hAnsi="宋体"/>
                <w:b/>
              </w:rPr>
              <w:t>评分标准</w:t>
            </w:r>
          </w:p>
        </w:tc>
        <w:tc>
          <w:tcPr>
            <w:tcW w:w="1492" w:type="dxa"/>
            <w:vAlign w:val="center"/>
          </w:tcPr>
          <w:p w14:paraId="18B59EB1">
            <w:pPr>
              <w:jc w:val="center"/>
              <w:rPr>
                <w:rFonts w:ascii="宋体" w:hAnsi="宋体"/>
                <w:b/>
              </w:rPr>
            </w:pPr>
            <w:r>
              <w:rPr>
                <w:rFonts w:hint="eastAsia" w:ascii="宋体" w:hAnsi="宋体"/>
                <w:b/>
              </w:rPr>
              <w:t>分值</w:t>
            </w:r>
          </w:p>
        </w:tc>
      </w:tr>
      <w:tr w14:paraId="26D50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1" w:hRule="atLeast"/>
          <w:tblHeader/>
          <w:jc w:val="center"/>
        </w:trPr>
        <w:tc>
          <w:tcPr>
            <w:tcW w:w="936" w:type="dxa"/>
            <w:tcBorders>
              <w:bottom w:val="single" w:color="auto" w:sz="4" w:space="0"/>
            </w:tcBorders>
            <w:vAlign w:val="center"/>
          </w:tcPr>
          <w:p w14:paraId="7CF01513">
            <w:pPr>
              <w:jc w:val="center"/>
              <w:rPr>
                <w:rFonts w:ascii="宋体" w:hAnsi="宋体"/>
              </w:rPr>
            </w:pPr>
            <w:r>
              <w:rPr>
                <w:rFonts w:hint="eastAsia" w:ascii="宋体" w:hAnsi="宋体"/>
              </w:rPr>
              <w:t>1.外贸单证缮制</w:t>
            </w:r>
          </w:p>
        </w:tc>
        <w:tc>
          <w:tcPr>
            <w:tcW w:w="6094" w:type="dxa"/>
            <w:vAlign w:val="center"/>
          </w:tcPr>
          <w:p w14:paraId="008A61AB">
            <w:pPr>
              <w:jc w:val="left"/>
              <w:rPr>
                <w:rFonts w:ascii="宋体" w:hAnsi="宋体"/>
              </w:rPr>
            </w:pPr>
            <w:r>
              <w:rPr>
                <w:rFonts w:hint="eastAsia" w:ascii="宋体" w:hAnsi="宋体"/>
              </w:rPr>
              <w:t>是否根据要求，正确、完整、及时、简明、整洁地完成单证缮制任务。每漏填或者错填一项扣2分，任务分值扣完为止。</w:t>
            </w:r>
          </w:p>
        </w:tc>
        <w:tc>
          <w:tcPr>
            <w:tcW w:w="1492" w:type="dxa"/>
            <w:tcBorders>
              <w:bottom w:val="single" w:color="auto" w:sz="4" w:space="0"/>
            </w:tcBorders>
            <w:vAlign w:val="center"/>
          </w:tcPr>
          <w:p w14:paraId="71F1BEE2">
            <w:pPr>
              <w:jc w:val="center"/>
              <w:rPr>
                <w:rFonts w:ascii="宋体" w:hAnsi="宋体"/>
              </w:rPr>
            </w:pPr>
            <w:r>
              <w:rPr>
                <w:rFonts w:ascii="宋体" w:hAnsi="宋体"/>
              </w:rPr>
              <w:t>40</w:t>
            </w:r>
          </w:p>
        </w:tc>
      </w:tr>
      <w:tr w14:paraId="4CCFA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blHeader/>
          <w:jc w:val="center"/>
        </w:trPr>
        <w:tc>
          <w:tcPr>
            <w:tcW w:w="936" w:type="dxa"/>
            <w:vMerge w:val="restart"/>
            <w:vAlign w:val="center"/>
          </w:tcPr>
          <w:p w14:paraId="75A5B51F">
            <w:pPr>
              <w:jc w:val="center"/>
              <w:rPr>
                <w:rFonts w:ascii="宋体" w:hAnsi="宋体"/>
              </w:rPr>
            </w:pPr>
            <w:r>
              <w:rPr>
                <w:rFonts w:hint="eastAsia" w:ascii="宋体" w:hAnsi="宋体"/>
              </w:rPr>
              <w:t>2.外贸履约问题解决方案设计</w:t>
            </w:r>
          </w:p>
        </w:tc>
        <w:tc>
          <w:tcPr>
            <w:tcW w:w="6094" w:type="dxa"/>
            <w:vAlign w:val="center"/>
          </w:tcPr>
          <w:p w14:paraId="25F22943">
            <w:pPr>
              <w:jc w:val="left"/>
              <w:rPr>
                <w:rFonts w:ascii="宋体" w:hAnsi="宋体"/>
              </w:rPr>
            </w:pPr>
            <w:r>
              <w:rPr>
                <w:rFonts w:hint="eastAsia" w:ascii="宋体" w:hAnsi="宋体"/>
              </w:rPr>
              <w:t>专业知识</w:t>
            </w:r>
            <w:r>
              <w:rPr>
                <w:rFonts w:ascii="宋体" w:hAnsi="宋体"/>
              </w:rPr>
              <w:t>是否扎实</w:t>
            </w:r>
          </w:p>
        </w:tc>
        <w:tc>
          <w:tcPr>
            <w:tcW w:w="1492" w:type="dxa"/>
            <w:vAlign w:val="center"/>
          </w:tcPr>
          <w:p w14:paraId="421A8942">
            <w:pPr>
              <w:jc w:val="center"/>
              <w:rPr>
                <w:rFonts w:ascii="宋体" w:hAnsi="宋体"/>
              </w:rPr>
            </w:pPr>
            <w:r>
              <w:rPr>
                <w:rFonts w:ascii="宋体" w:hAnsi="宋体"/>
              </w:rPr>
              <w:t>10</w:t>
            </w:r>
          </w:p>
        </w:tc>
      </w:tr>
      <w:tr w14:paraId="0EFDE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tblHeader/>
          <w:jc w:val="center"/>
        </w:trPr>
        <w:tc>
          <w:tcPr>
            <w:tcW w:w="936" w:type="dxa"/>
            <w:vMerge w:val="continue"/>
            <w:vAlign w:val="center"/>
          </w:tcPr>
          <w:p w14:paraId="55A5D447">
            <w:pPr>
              <w:jc w:val="center"/>
              <w:rPr>
                <w:rFonts w:ascii="宋体" w:hAnsi="宋体"/>
              </w:rPr>
            </w:pPr>
          </w:p>
        </w:tc>
        <w:tc>
          <w:tcPr>
            <w:tcW w:w="6094" w:type="dxa"/>
            <w:vAlign w:val="center"/>
          </w:tcPr>
          <w:p w14:paraId="0681C729">
            <w:pPr>
              <w:jc w:val="left"/>
              <w:rPr>
                <w:rFonts w:ascii="宋体" w:hAnsi="宋体"/>
              </w:rPr>
            </w:pPr>
            <w:r>
              <w:rPr>
                <w:rFonts w:hint="eastAsia" w:ascii="宋体" w:hAnsi="宋体"/>
              </w:rPr>
              <w:t>影响问题解决的关键因素解析是否准确、完整；分析过程逻辑是否完整、合理。</w:t>
            </w:r>
          </w:p>
        </w:tc>
        <w:tc>
          <w:tcPr>
            <w:tcW w:w="1492" w:type="dxa"/>
            <w:vAlign w:val="center"/>
          </w:tcPr>
          <w:p w14:paraId="78375D9D">
            <w:pPr>
              <w:jc w:val="center"/>
              <w:rPr>
                <w:rFonts w:ascii="宋体" w:hAnsi="宋体"/>
              </w:rPr>
            </w:pPr>
            <w:r>
              <w:rPr>
                <w:rFonts w:ascii="宋体" w:hAnsi="宋体"/>
              </w:rPr>
              <w:t>25</w:t>
            </w:r>
          </w:p>
        </w:tc>
      </w:tr>
      <w:tr w14:paraId="69C2C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blHeader/>
          <w:jc w:val="center"/>
        </w:trPr>
        <w:tc>
          <w:tcPr>
            <w:tcW w:w="936" w:type="dxa"/>
            <w:vMerge w:val="continue"/>
            <w:vAlign w:val="center"/>
          </w:tcPr>
          <w:p w14:paraId="1C1D95A9">
            <w:pPr>
              <w:jc w:val="center"/>
              <w:rPr>
                <w:rFonts w:ascii="宋体" w:hAnsi="宋体"/>
              </w:rPr>
            </w:pPr>
          </w:p>
        </w:tc>
        <w:tc>
          <w:tcPr>
            <w:tcW w:w="6094" w:type="dxa"/>
            <w:vAlign w:val="center"/>
          </w:tcPr>
          <w:p w14:paraId="05142E01">
            <w:pPr>
              <w:jc w:val="left"/>
              <w:rPr>
                <w:rFonts w:ascii="宋体" w:hAnsi="宋体"/>
              </w:rPr>
            </w:pPr>
            <w:r>
              <w:rPr>
                <w:rFonts w:hint="eastAsia" w:ascii="宋体" w:hAnsi="宋体"/>
              </w:rPr>
              <w:t>解决方案是否在合规的前提下具备可行性，是否有创新性；表述是否简单明了，清晰准确。</w:t>
            </w:r>
          </w:p>
        </w:tc>
        <w:tc>
          <w:tcPr>
            <w:tcW w:w="1492" w:type="dxa"/>
            <w:vAlign w:val="center"/>
          </w:tcPr>
          <w:p w14:paraId="2B66EB7C">
            <w:pPr>
              <w:jc w:val="center"/>
              <w:rPr>
                <w:rFonts w:ascii="宋体" w:hAnsi="宋体"/>
              </w:rPr>
            </w:pPr>
            <w:r>
              <w:rPr>
                <w:rFonts w:ascii="宋体" w:hAnsi="宋体"/>
              </w:rPr>
              <w:t>25</w:t>
            </w:r>
          </w:p>
        </w:tc>
      </w:tr>
    </w:tbl>
    <w:p w14:paraId="3BC8940B">
      <w:pPr>
        <w:spacing w:line="6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3.外贸B2C模块</w:t>
      </w:r>
    </w:p>
    <w:p w14:paraId="0C0D34CA">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外贸B2C模块成绩由参赛队在系统中运营的公司分数构成。如果团队经营过多家公司（如破产后重建新公司），则取这些公司分数的最高值。具体计算方法如下：</w:t>
      </w:r>
    </w:p>
    <w:p w14:paraId="30E9BD0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（1）公司分数</w:t>
      </w:r>
    </w:p>
    <w:p w14:paraId="2A99537D">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公司分数受多种因素影响，这些因素包括“投资回报率分数”和“破产影响系数”。</w:t>
      </w:r>
    </w:p>
    <w:p w14:paraId="500E0B49">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公司分数计算公式：</w:t>
      </w:r>
    </w:p>
    <w:p w14:paraId="5A7AE8BF">
      <w:pPr>
        <w:adjustRightInd w:val="0"/>
        <w:snapToGrid w:val="0"/>
        <w:spacing w:line="360" w:lineRule="auto"/>
        <w:ind w:right="210" w:rightChars="100" w:firstLine="420" w:firstLineChars="200"/>
        <w:jc w:val="left"/>
        <w:rPr>
          <w:rFonts w:ascii="宋体"/>
          <w:bCs/>
        </w:rPr>
      </w:pPr>
      <m:oMathPara>
        <m:oMath>
          <m:sSub>
            <m:sSubPr>
              <m:ctrlPr>
                <w:rPr>
                  <w:rFonts w:ascii="Cambria Math" w:hAnsi="Cambria Math"/>
                  <w:i/>
                </w:rPr>
              </m:ctrlPr>
            </m:sSubPr>
            <m:e>
              <m:r>
                <m:rPr/>
                <w:rPr>
                  <w:rFonts w:hint="eastAsia" w:ascii="Cambria Math" w:hAnsi="Cambria Math"/>
                </w:rPr>
                <m:t>S</m:t>
              </m:r>
              <m:ctrlPr>
                <w:rPr>
                  <w:rFonts w:ascii="Cambria Math" w:hAnsi="Cambria Math"/>
                  <w:i/>
                </w:rPr>
              </m:ctrlPr>
            </m:e>
            <m:sub>
              <m:r>
                <m:rPr/>
                <w:rPr>
                  <w:rFonts w:hint="eastAsia" w:ascii="Cambria Math" w:hAnsi="Cambria Math"/>
                </w:rPr>
                <m:t>c</m:t>
              </m:r>
              <m:ctrlPr>
                <w:rPr>
                  <w:rFonts w:ascii="Cambria Math" w:hAnsi="Cambria Math"/>
                  <w:i/>
                </w:rPr>
              </m:ctrlPr>
            </m:sub>
          </m:sSub>
          <m:r>
            <m:rPr/>
            <w:rPr>
              <w:rFonts w:ascii="Cambria Math" w:hAnsi="Cambria Math"/>
            </w:rPr>
            <m:t>=</m:t>
          </m:r>
          <m:sSub>
            <m:sSubPr>
              <m:ctrlPr>
                <w:rPr>
                  <w:rFonts w:ascii="Cambria Math" w:hAnsi="Cambria Math"/>
                  <w:i/>
                </w:rPr>
              </m:ctrlPr>
            </m:sSubPr>
            <m:e>
              <m:r>
                <m:rPr/>
                <w:rPr>
                  <w:rFonts w:hint="eastAsia" w:ascii="Cambria Math" w:hAnsi="Cambria Math"/>
                </w:rPr>
                <m:t>S</m:t>
              </m:r>
              <m:ctrlPr>
                <w:rPr>
                  <w:rFonts w:ascii="Cambria Math" w:hAnsi="Cambria Math"/>
                  <w:i/>
                </w:rPr>
              </m:ctrlPr>
            </m:e>
            <m:sub>
              <m:r>
                <m:rPr/>
                <w:rPr>
                  <w:rFonts w:hint="eastAsia" w:ascii="Cambria Math" w:hAnsi="Cambria Math"/>
                </w:rPr>
                <m:t>r</m:t>
              </m:r>
              <m:ctrlPr>
                <w:rPr>
                  <w:rFonts w:ascii="Cambria Math" w:hAnsi="Cambria Math"/>
                  <w:i/>
                </w:rPr>
              </m:ctrlPr>
            </m:sub>
          </m:sSub>
          <m:r>
            <m:rPr/>
            <w:rPr>
              <w:rFonts w:ascii="Cambria Math" w:hAnsi="Cambria Math"/>
            </w:rPr>
            <m:t>×</m:t>
          </m:r>
          <m:d>
            <m:dPr>
              <m:begChr m:val="{"/>
              <m:endChr m:val=""/>
              <m:ctrlPr>
                <w:rPr>
                  <w:rFonts w:ascii="Cambria Math" w:hAnsi="Cambria Math"/>
                  <w:i/>
                </w:rPr>
              </m:ctrlPr>
            </m:dPr>
            <m:e>
              <m:eqArr>
                <m:eqArrPr>
                  <m:ctrlPr>
                    <w:rPr>
                      <w:rFonts w:ascii="Cambria Math" w:hAnsi="Cambria Math"/>
                      <w:i/>
                    </w:rPr>
                  </m:ctrlPr>
                </m:eqArrPr>
                <m:e>
                  <m:sSub>
                    <m:sSubPr>
                      <m:ctrlPr>
                        <w:rPr>
                          <w:rFonts w:ascii="Cambria Math" w:hAnsi="Cambria Math"/>
                          <w:i/>
                        </w:rPr>
                      </m:ctrlPr>
                    </m:sSubPr>
                    <m:e>
                      <m:r>
                        <m:rPr/>
                        <w:rPr>
                          <w:rFonts w:hint="eastAsia" w:ascii="Cambria Math" w:hAnsi="Cambria Math"/>
                        </w:rPr>
                        <m:t>F</m:t>
                      </m:r>
                      <m:ctrlPr>
                        <w:rPr>
                          <w:rFonts w:ascii="Cambria Math" w:hAnsi="Cambria Math"/>
                          <w:i/>
                        </w:rPr>
                      </m:ctrlPr>
                    </m:e>
                    <m:sub>
                      <m:r>
                        <m:rPr/>
                        <w:rPr>
                          <w:rFonts w:hint="eastAsia" w:ascii="Cambria Math" w:hAnsi="Cambria Math"/>
                        </w:rPr>
                        <m:t>b</m:t>
                      </m:r>
                      <m:ctrlPr>
                        <w:rPr>
                          <w:rFonts w:ascii="Cambria Math" w:hAnsi="Cambria Math"/>
                          <w:i/>
                        </w:rPr>
                      </m:ctrlPr>
                    </m:sub>
                  </m:sSub>
                  <m:r>
                    <m:rPr/>
                    <w:rPr>
                      <w:rFonts w:ascii="Cambria Math" w:hAnsi="Cambria Math"/>
                    </w:rPr>
                    <m:t xml:space="preserve">,  </m:t>
                  </m:r>
                  <m:r>
                    <m:rPr/>
                    <w:rPr>
                      <w:rFonts w:hint="eastAsia" w:ascii="Cambria Math" w:hAnsi="Cambria Math"/>
                    </w:rPr>
                    <m:t>公司破产</m:t>
                  </m:r>
                  <m:ctrlPr>
                    <w:rPr>
                      <w:rFonts w:ascii="Cambria Math" w:hAnsi="Cambria Math"/>
                      <w:i/>
                    </w:rPr>
                  </m:ctrlPr>
                </m:e>
                <m:e>
                  <m:r>
                    <m:rPr/>
                    <w:rPr>
                      <w:rFonts w:ascii="Cambria Math" w:hAnsi="Cambria Math"/>
                    </w:rPr>
                    <m:t xml:space="preserve">1,  </m:t>
                  </m:r>
                  <m:r>
                    <m:rPr/>
                    <w:rPr>
                      <w:rFonts w:hint="eastAsia" w:ascii="Cambria Math" w:hAnsi="Cambria Math"/>
                    </w:rPr>
                    <m:t>公司健康</m:t>
                  </m:r>
                  <m:ctrlPr>
                    <w:rPr>
                      <w:rFonts w:ascii="Cambria Math" w:hAnsi="Cambria Math"/>
                      <w:i/>
                    </w:rPr>
                  </m:ctrlPr>
                </m:e>
              </m:eqArr>
              <m:ctrlPr>
                <w:rPr>
                  <w:rFonts w:ascii="Cambria Math" w:hAnsi="Cambria Math"/>
                  <w:i/>
                </w:rPr>
              </m:ctrlPr>
            </m:e>
          </m:d>
        </m:oMath>
      </m:oMathPara>
    </w:p>
    <w:p w14:paraId="14C4D9E9">
      <w:pPr>
        <w:adjustRightInd w:val="0"/>
        <w:snapToGrid w:val="0"/>
        <w:spacing w:line="360" w:lineRule="auto"/>
        <w:ind w:right="210" w:rightChars="100" w:firstLine="420" w:firstLineChars="200"/>
        <w:jc w:val="left"/>
        <w:rPr>
          <w:rFonts w:ascii="宋体"/>
          <w:bCs/>
        </w:rPr>
      </w:pPr>
      <w:r>
        <w:rPr>
          <w:rFonts w:hint="eastAsia" w:ascii="宋体"/>
          <w:bCs/>
        </w:rPr>
        <w:t>其中：</w:t>
      </w:r>
    </w:p>
    <w:p w14:paraId="34F25652">
      <w:pPr>
        <w:adjustRightInd w:val="0"/>
        <w:snapToGrid w:val="0"/>
        <w:spacing w:line="360" w:lineRule="auto"/>
        <w:ind w:left="998" w:leftChars="475" w:right="210" w:rightChars="100" w:firstLine="420" w:firstLineChars="200"/>
        <w:jc w:val="left"/>
        <w:rPr>
          <w:rFonts w:ascii="宋体"/>
          <w:bCs/>
        </w:rPr>
      </w:pPr>
      <m:oMathPara>
        <m:oMathParaPr>
          <m:jc m:val="left"/>
        </m:oMathParaPr>
        <m:oMath>
          <m:sSub>
            <m:sSubPr>
              <m:ctrlPr>
                <w:rPr>
                  <w:rFonts w:ascii="Cambria Math" w:hAnsi="Cambria Math"/>
                  <w:i/>
                </w:rPr>
              </m:ctrlPr>
            </m:sSubPr>
            <m:e>
              <m:r>
                <m:rPr/>
                <w:rPr>
                  <w:rFonts w:hint="eastAsia" w:ascii="Cambria Math" w:hAnsi="Cambria Math"/>
                </w:rPr>
                <m:t>S</m:t>
              </m:r>
              <m:ctrlPr>
                <w:rPr>
                  <w:rFonts w:ascii="Cambria Math" w:hAnsi="Cambria Math"/>
                  <w:i/>
                </w:rPr>
              </m:ctrlPr>
            </m:e>
            <m:sub>
              <m:r>
                <m:rPr/>
                <w:rPr>
                  <w:rFonts w:hint="eastAsia" w:ascii="Cambria Math" w:hAnsi="Cambria Math"/>
                </w:rPr>
                <m:t>c</m:t>
              </m:r>
              <m:ctrlPr>
                <w:rPr>
                  <w:rFonts w:ascii="Cambria Math" w:hAnsi="Cambria Math"/>
                  <w:i/>
                </w:rPr>
              </m:ctrlPr>
            </m:sub>
          </m:sSub>
          <m:r>
            <m:rPr/>
            <w:rPr>
              <w:rFonts w:hint="eastAsia" w:ascii="Cambria Math" w:hAnsi="Cambria Math"/>
            </w:rPr>
            <m:t>=公司分数</m:t>
          </m:r>
        </m:oMath>
      </m:oMathPara>
    </w:p>
    <w:p w14:paraId="50706EEA">
      <w:pPr>
        <w:adjustRightInd w:val="0"/>
        <w:snapToGrid w:val="0"/>
        <w:spacing w:line="360" w:lineRule="auto"/>
        <w:ind w:left="998" w:leftChars="475" w:right="210" w:rightChars="100" w:firstLine="420" w:firstLineChars="200"/>
        <w:jc w:val="left"/>
        <w:rPr>
          <w:rFonts w:ascii="宋体"/>
          <w:bCs/>
        </w:rPr>
      </w:pPr>
      <m:oMathPara>
        <m:oMathParaPr>
          <m:jc m:val="left"/>
        </m:oMathParaPr>
        <m:oMath>
          <m:sSub>
            <m:sSubPr>
              <m:ctrlPr>
                <w:rPr>
                  <w:rFonts w:ascii="Cambria Math" w:hAnsi="Cambria Math"/>
                  <w:i/>
                </w:rPr>
              </m:ctrlPr>
            </m:sSubPr>
            <m:e>
              <m:r>
                <m:rPr/>
                <w:rPr>
                  <w:rFonts w:hint="eastAsia" w:ascii="Cambria Math" w:hAnsi="Cambria Math"/>
                </w:rPr>
                <m:t>S</m:t>
              </m:r>
              <m:ctrlPr>
                <w:rPr>
                  <w:rFonts w:ascii="Cambria Math" w:hAnsi="Cambria Math"/>
                  <w:i/>
                </w:rPr>
              </m:ctrlPr>
            </m:e>
            <m:sub>
              <m:r>
                <m:rPr/>
                <w:rPr>
                  <w:rFonts w:hint="eastAsia" w:ascii="Cambria Math" w:hAnsi="Cambria Math"/>
                </w:rPr>
                <m:t>r</m:t>
              </m:r>
              <m:ctrlPr>
                <w:rPr>
                  <w:rFonts w:ascii="Cambria Math" w:hAnsi="Cambria Math"/>
                  <w:i/>
                </w:rPr>
              </m:ctrlPr>
            </m:sub>
          </m:sSub>
          <m:r>
            <m:rPr/>
            <w:rPr>
              <w:rFonts w:hint="eastAsia" w:ascii="Cambria Math" w:hAnsi="Cambria Math"/>
            </w:rPr>
            <m:t>=投资回报率分数</m:t>
          </m:r>
        </m:oMath>
      </m:oMathPara>
    </w:p>
    <w:p w14:paraId="388459D5">
      <w:pPr>
        <w:adjustRightInd w:val="0"/>
        <w:snapToGrid w:val="0"/>
        <w:spacing w:line="360" w:lineRule="auto"/>
        <w:ind w:left="998" w:leftChars="475" w:right="210" w:rightChars="100" w:firstLine="420" w:firstLineChars="200"/>
        <w:jc w:val="left"/>
        <w:rPr>
          <w:rFonts w:ascii="宋体"/>
          <w:bCs/>
        </w:rPr>
      </w:pPr>
      <m:oMathPara>
        <m:oMathParaPr>
          <m:jc m:val="left"/>
        </m:oMathParaPr>
        <m:oMath>
          <m:sSub>
            <m:sSubPr>
              <m:ctrlPr>
                <w:rPr>
                  <w:rFonts w:ascii="Cambria Math" w:hAnsi="Cambria Math"/>
                  <w:i/>
                </w:rPr>
              </m:ctrlPr>
            </m:sSubPr>
            <m:e>
              <m:r>
                <m:rPr/>
                <w:rPr>
                  <w:rFonts w:hint="eastAsia" w:ascii="Cambria Math" w:hAnsi="Cambria Math"/>
                </w:rPr>
                <m:t>F</m:t>
              </m:r>
              <m:ctrlPr>
                <w:rPr>
                  <w:rFonts w:ascii="Cambria Math" w:hAnsi="Cambria Math"/>
                  <w:i/>
                </w:rPr>
              </m:ctrlPr>
            </m:e>
            <m:sub>
              <m:r>
                <m:rPr/>
                <w:rPr>
                  <w:rFonts w:hint="eastAsia" w:ascii="Cambria Math" w:hAnsi="Cambria Math"/>
                </w:rPr>
                <m:t>b</m:t>
              </m:r>
              <m:ctrlPr>
                <w:rPr>
                  <w:rFonts w:ascii="Cambria Math" w:hAnsi="Cambria Math"/>
                  <w:i/>
                </w:rPr>
              </m:ctrlPr>
            </m:sub>
          </m:sSub>
          <m:r>
            <m:rPr/>
            <w:rPr>
              <w:rFonts w:hint="eastAsia" w:ascii="Cambria Math" w:hAnsi="Cambria Math"/>
            </w:rPr>
            <m:t>=破产影响系数</m:t>
          </m:r>
        </m:oMath>
      </m:oMathPara>
    </w:p>
    <w:p w14:paraId="1D5AF4EA">
      <w:pPr>
        <w:adjustRightInd w:val="0"/>
        <w:snapToGrid w:val="0"/>
        <w:spacing w:line="360" w:lineRule="auto"/>
        <w:ind w:right="210" w:rightChars="100" w:firstLine="420" w:firstLineChars="200"/>
        <w:jc w:val="left"/>
        <w:rPr>
          <w:rFonts w:ascii="宋体"/>
          <w:bCs/>
        </w:rPr>
      </w:pPr>
      <w:r>
        <w:rPr>
          <w:rFonts w:hint="eastAsia" w:ascii="宋体"/>
          <w:bCs/>
        </w:rPr>
        <w:t>设置：</w:t>
      </w:r>
    </w:p>
    <w:p w14:paraId="5741990C">
      <w:pPr>
        <w:adjustRightInd w:val="0"/>
        <w:snapToGrid w:val="0"/>
        <w:spacing w:line="360" w:lineRule="auto"/>
        <w:ind w:left="998" w:leftChars="475" w:right="210" w:rightChars="100" w:firstLine="420" w:firstLineChars="200"/>
        <w:jc w:val="left"/>
        <w:rPr>
          <w:rFonts w:ascii="宋体"/>
          <w:bCs/>
        </w:rPr>
      </w:pPr>
      <m:oMathPara>
        <m:oMathParaPr>
          <m:jc m:val="left"/>
        </m:oMathParaPr>
        <m:oMath>
          <m:sSub>
            <m:sSubPr>
              <m:ctrlPr>
                <w:rPr>
                  <w:rFonts w:ascii="Cambria Math" w:hAnsi="Cambria Math"/>
                  <w:i/>
                </w:rPr>
              </m:ctrlPr>
            </m:sSubPr>
            <m:e>
              <m:r>
                <m:rPr/>
                <w:rPr>
                  <w:rFonts w:hint="eastAsia" w:ascii="Cambria Math" w:hAnsi="Cambria Math"/>
                </w:rPr>
                <m:t>F</m:t>
              </m:r>
              <m:ctrlPr>
                <w:rPr>
                  <w:rFonts w:ascii="Cambria Math" w:hAnsi="Cambria Math"/>
                  <w:i/>
                </w:rPr>
              </m:ctrlPr>
            </m:e>
            <m:sub>
              <m:r>
                <m:rPr/>
                <w:rPr>
                  <w:rFonts w:hint="eastAsia" w:ascii="Cambria Math" w:hAnsi="Cambria Math"/>
                </w:rPr>
                <m:t>b</m:t>
              </m:r>
              <m:ctrlPr>
                <w:rPr>
                  <w:rFonts w:ascii="Cambria Math" w:hAnsi="Cambria Math"/>
                  <w:i/>
                </w:rPr>
              </m:ctrlPr>
            </m:sub>
          </m:sSub>
          <m:r>
            <m:rPr/>
            <w:rPr>
              <w:rFonts w:hint="eastAsia" w:ascii="Cambria Math" w:hAnsi="Cambria Math"/>
            </w:rPr>
            <m:t>=</m:t>
          </m:r>
          <m:r>
            <m:rPr/>
            <w:rPr>
              <w:rFonts w:ascii="Cambria Math" w:hAnsi="Cambria Math"/>
            </w:rPr>
            <m:t>0.5</m:t>
          </m:r>
        </m:oMath>
      </m:oMathPara>
    </w:p>
    <w:p w14:paraId="79174ED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（2）投资回报率分数</w:t>
      </w:r>
    </w:p>
    <w:p w14:paraId="160FFCCE">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投资回报率分数受多种因素影响，这些因素包括“投资回报率数值分数”和“投资回报率排名分数”。</w:t>
      </w:r>
    </w:p>
    <w:p w14:paraId="6B023C2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投资回报率分数计算公式：</w:t>
      </w:r>
    </w:p>
    <w:p w14:paraId="01A077CE">
      <w:pPr>
        <w:adjustRightInd w:val="0"/>
        <w:snapToGrid w:val="0"/>
        <w:spacing w:line="360" w:lineRule="auto"/>
        <w:ind w:right="210" w:rightChars="100" w:firstLine="4" w:firstLineChars="2"/>
        <w:jc w:val="center"/>
        <w:rPr>
          <w:rFonts w:ascii="宋体"/>
          <w:bCs/>
        </w:rPr>
      </w:pPr>
      <w:r>
        <w:rPr>
          <w:rFonts w:ascii="宋体"/>
          <w:bCs/>
        </w:rPr>
        <w:object>
          <v:shape id="_x0000_i1025" o:spt="75" type="#_x0000_t75" style="height:39pt;width:150.75pt;" o:ole="t" filled="f" o:preferrelative="t" stroked="f" coordsize="21600,21600">
            <v:path/>
            <v:fill on="f" focussize="0,0"/>
            <v:stroke on="f" joinstyle="miter"/>
            <v:imagedata r:id="rId10" o:title=""/>
            <o:lock v:ext="edit" aspectratio="t"/>
            <w10:wrap type="none"/>
            <w10:anchorlock/>
          </v:shape>
          <o:OLEObject Type="Embed" ProgID="Equation.3" ShapeID="_x0000_i1025" DrawAspect="Content" ObjectID="_1468075725" r:id="rId9">
            <o:LockedField>false</o:LockedField>
          </o:OLEObject>
        </w:object>
      </w:r>
    </w:p>
    <w:p w14:paraId="06AE889B">
      <w:pPr>
        <w:adjustRightInd w:val="0"/>
        <w:snapToGrid w:val="0"/>
        <w:spacing w:line="360" w:lineRule="auto"/>
        <w:ind w:right="210" w:rightChars="100" w:firstLine="420" w:firstLineChars="200"/>
        <w:jc w:val="left"/>
        <w:rPr>
          <w:rFonts w:ascii="宋体"/>
          <w:bCs/>
        </w:rPr>
      </w:pPr>
      <w:r>
        <w:rPr>
          <w:rFonts w:hint="eastAsia" w:ascii="宋体"/>
          <w:bCs/>
        </w:rPr>
        <w:t>其中：</w:t>
      </w:r>
    </w:p>
    <w:p w14:paraId="2260AC0F">
      <w:pPr>
        <w:adjustRightInd w:val="0"/>
        <w:snapToGrid w:val="0"/>
        <w:spacing w:line="360" w:lineRule="auto"/>
        <w:ind w:left="998" w:leftChars="475" w:right="210" w:rightChars="100" w:firstLine="420" w:firstLineChars="200"/>
        <w:jc w:val="left"/>
        <w:rPr>
          <w:rFonts w:ascii="宋体"/>
          <w:bCs/>
        </w:rPr>
      </w:pPr>
      <m:oMathPara>
        <m:oMathParaPr>
          <m:jc m:val="left"/>
        </m:oMathParaPr>
        <m:oMath>
          <m:sSub>
            <m:sSubPr>
              <m:ctrlPr>
                <w:rPr>
                  <w:rFonts w:ascii="Cambria Math" w:hAnsi="Cambria Math"/>
                  <w:i/>
                </w:rPr>
              </m:ctrlPr>
            </m:sSubPr>
            <m:e>
              <m:r>
                <m:rPr/>
                <w:rPr>
                  <w:rFonts w:hint="eastAsia" w:ascii="Cambria Math" w:hAnsi="Cambria Math"/>
                </w:rPr>
                <m:t>S</m:t>
              </m:r>
              <m:ctrlPr>
                <w:rPr>
                  <w:rFonts w:ascii="Cambria Math" w:hAnsi="Cambria Math"/>
                  <w:i/>
                </w:rPr>
              </m:ctrlPr>
            </m:e>
            <m:sub>
              <m:r>
                <m:rPr/>
                <w:rPr>
                  <w:rFonts w:hint="eastAsia" w:ascii="Cambria Math" w:hAnsi="Cambria Math"/>
                </w:rPr>
                <m:t>r</m:t>
              </m:r>
              <m:ctrlPr>
                <w:rPr>
                  <w:rFonts w:ascii="Cambria Math" w:hAnsi="Cambria Math"/>
                  <w:i/>
                </w:rPr>
              </m:ctrlPr>
            </m:sub>
          </m:sSub>
          <m:r>
            <m:rPr/>
            <w:rPr>
              <w:rFonts w:hint="eastAsia" w:ascii="Cambria Math" w:hAnsi="Cambria Math"/>
            </w:rPr>
            <m:t>=投资回报率分数</m:t>
          </m:r>
        </m:oMath>
      </m:oMathPara>
    </w:p>
    <w:p w14:paraId="7B9D3ACE">
      <w:pPr>
        <w:adjustRightInd w:val="0"/>
        <w:snapToGrid w:val="0"/>
        <w:spacing w:line="360" w:lineRule="auto"/>
        <w:ind w:left="998" w:leftChars="475" w:right="210" w:rightChars="100" w:firstLine="420" w:firstLineChars="200"/>
        <w:jc w:val="left"/>
        <w:rPr>
          <w:rFonts w:ascii="宋体"/>
          <w:bCs/>
        </w:rPr>
      </w:pPr>
      <m:oMathPara>
        <m:oMathParaPr>
          <m:jc m:val="left"/>
        </m:oMathParaPr>
        <m:oMath>
          <m:sSub>
            <m:sSubPr>
              <m:ctrlPr>
                <w:rPr>
                  <w:rFonts w:ascii="Cambria Math" w:hAnsi="Cambria Math"/>
                  <w:i/>
                </w:rPr>
              </m:ctrlPr>
            </m:sSubPr>
            <m:e>
              <m:r>
                <m:rPr/>
                <w:rPr>
                  <w:rFonts w:hint="eastAsia" w:ascii="Cambria Math" w:hAnsi="Cambria Math"/>
                </w:rPr>
                <m:t>S</m:t>
              </m:r>
              <m:ctrlPr>
                <w:rPr>
                  <w:rFonts w:ascii="Cambria Math" w:hAnsi="Cambria Math"/>
                  <w:i/>
                </w:rPr>
              </m:ctrlPr>
            </m:e>
            <m:sub>
              <m:r>
                <m:rPr/>
                <w:rPr>
                  <w:rFonts w:hint="eastAsia" w:ascii="Cambria Math" w:hAnsi="Cambria Math"/>
                </w:rPr>
                <m:t>rr</m:t>
              </m:r>
              <m:ctrlPr>
                <w:rPr>
                  <w:rFonts w:ascii="Cambria Math" w:hAnsi="Cambria Math"/>
                  <w:i/>
                </w:rPr>
              </m:ctrlPr>
            </m:sub>
          </m:sSub>
          <m:r>
            <m:rPr/>
            <w:rPr>
              <w:rFonts w:hint="eastAsia" w:ascii="Cambria Math" w:hAnsi="Cambria Math"/>
            </w:rPr>
            <m:t>=投资回报率排名分数</m:t>
          </m:r>
        </m:oMath>
      </m:oMathPara>
    </w:p>
    <w:p w14:paraId="654EC064">
      <w:pPr>
        <w:adjustRightInd w:val="0"/>
        <w:snapToGrid w:val="0"/>
        <w:spacing w:line="360" w:lineRule="auto"/>
        <w:ind w:left="998" w:leftChars="475" w:right="210" w:rightChars="100" w:firstLine="420" w:firstLineChars="200"/>
        <w:jc w:val="left"/>
        <w:rPr>
          <w:rFonts w:ascii="宋体"/>
          <w:bCs/>
        </w:rPr>
      </w:pPr>
      <m:oMathPara>
        <m:oMathParaPr>
          <m:jc m:val="left"/>
        </m:oMathParaPr>
        <m:oMath>
          <m:sSub>
            <m:sSubPr>
              <m:ctrlPr>
                <w:rPr>
                  <w:rFonts w:ascii="Cambria Math" w:hAnsi="Cambria Math"/>
                  <w:i/>
                </w:rPr>
              </m:ctrlPr>
            </m:sSubPr>
            <m:e>
              <m:r>
                <m:rPr/>
                <w:rPr>
                  <w:rFonts w:hint="eastAsia" w:ascii="Cambria Math" w:hAnsi="Cambria Math"/>
                </w:rPr>
                <m:t>w</m:t>
              </m:r>
              <m:ctrlPr>
                <w:rPr>
                  <w:rFonts w:ascii="Cambria Math" w:hAnsi="Cambria Math"/>
                  <w:i/>
                </w:rPr>
              </m:ctrlPr>
            </m:e>
            <m:sub>
              <m:r>
                <m:rPr/>
                <w:rPr>
                  <w:rFonts w:hint="eastAsia" w:ascii="Cambria Math" w:hAnsi="Cambria Math"/>
                </w:rPr>
                <m:t>rr</m:t>
              </m:r>
              <m:ctrlPr>
                <w:rPr>
                  <w:rFonts w:ascii="Cambria Math" w:hAnsi="Cambria Math"/>
                  <w:i/>
                </w:rPr>
              </m:ctrlPr>
            </m:sub>
          </m:sSub>
          <m:r>
            <m:rPr/>
            <w:rPr>
              <w:rFonts w:hint="eastAsia" w:ascii="Cambria Math" w:hAnsi="Cambria Math"/>
            </w:rPr>
            <m:t>=投资回报率排名分数权值</m:t>
          </m:r>
        </m:oMath>
      </m:oMathPara>
    </w:p>
    <w:p w14:paraId="1667354B">
      <w:pPr>
        <w:adjustRightInd w:val="0"/>
        <w:snapToGrid w:val="0"/>
        <w:spacing w:line="360" w:lineRule="auto"/>
        <w:ind w:left="998" w:leftChars="475" w:right="210" w:rightChars="100" w:firstLine="420" w:firstLineChars="200"/>
        <w:jc w:val="left"/>
        <w:rPr>
          <w:rFonts w:ascii="宋体"/>
          <w:bCs/>
        </w:rPr>
      </w:pPr>
      <m:oMathPara>
        <m:oMathParaPr>
          <m:jc m:val="left"/>
        </m:oMathParaPr>
        <m:oMath>
          <m:sSub>
            <m:sSubPr>
              <m:ctrlPr>
                <w:rPr>
                  <w:rFonts w:ascii="Cambria Math" w:hAnsi="Cambria Math"/>
                  <w:i/>
                </w:rPr>
              </m:ctrlPr>
            </m:sSubPr>
            <m:e>
              <m:r>
                <m:rPr/>
                <w:rPr>
                  <w:rFonts w:hint="eastAsia" w:ascii="Cambria Math" w:hAnsi="Cambria Math"/>
                </w:rPr>
                <m:t>S</m:t>
              </m:r>
              <m:ctrlPr>
                <w:rPr>
                  <w:rFonts w:ascii="Cambria Math" w:hAnsi="Cambria Math"/>
                  <w:i/>
                </w:rPr>
              </m:ctrlPr>
            </m:e>
            <m:sub>
              <m:r>
                <m:rPr/>
                <w:rPr>
                  <w:rFonts w:hint="eastAsia" w:ascii="Cambria Math" w:hAnsi="Cambria Math"/>
                </w:rPr>
                <m:t>rv</m:t>
              </m:r>
              <m:ctrlPr>
                <w:rPr>
                  <w:rFonts w:ascii="Cambria Math" w:hAnsi="Cambria Math"/>
                  <w:i/>
                </w:rPr>
              </m:ctrlPr>
            </m:sub>
          </m:sSub>
          <m:r>
            <m:rPr/>
            <w:rPr>
              <w:rFonts w:hint="eastAsia" w:ascii="Cambria Math" w:hAnsi="Cambria Math"/>
            </w:rPr>
            <m:t>=投资回报率数值分数</m:t>
          </m:r>
        </m:oMath>
      </m:oMathPara>
    </w:p>
    <w:p w14:paraId="53633876">
      <w:pPr>
        <w:adjustRightInd w:val="0"/>
        <w:snapToGrid w:val="0"/>
        <w:spacing w:line="360" w:lineRule="auto"/>
        <w:ind w:left="998" w:leftChars="475" w:right="210" w:rightChars="100" w:firstLine="420" w:firstLineChars="200"/>
        <w:jc w:val="left"/>
        <w:rPr>
          <w:rFonts w:ascii="宋体"/>
          <w:bCs/>
        </w:rPr>
      </w:pPr>
      <m:oMathPara>
        <m:oMathParaPr>
          <m:jc m:val="left"/>
        </m:oMathParaPr>
        <m:oMath>
          <m:sSub>
            <m:sSubPr>
              <m:ctrlPr>
                <w:rPr>
                  <w:rFonts w:ascii="Cambria Math" w:hAnsi="Cambria Math"/>
                  <w:i/>
                </w:rPr>
              </m:ctrlPr>
            </m:sSubPr>
            <m:e>
              <m:r>
                <m:rPr/>
                <w:rPr>
                  <w:rFonts w:hint="eastAsia" w:ascii="Cambria Math" w:hAnsi="Cambria Math"/>
                </w:rPr>
                <m:t>w</m:t>
              </m:r>
              <m:ctrlPr>
                <w:rPr>
                  <w:rFonts w:ascii="Cambria Math" w:hAnsi="Cambria Math"/>
                  <w:i/>
                </w:rPr>
              </m:ctrlPr>
            </m:e>
            <m:sub>
              <m:r>
                <m:rPr/>
                <w:rPr>
                  <w:rFonts w:hint="eastAsia" w:ascii="Cambria Math" w:hAnsi="Cambria Math"/>
                </w:rPr>
                <m:t>rv</m:t>
              </m:r>
              <m:ctrlPr>
                <w:rPr>
                  <w:rFonts w:ascii="Cambria Math" w:hAnsi="Cambria Math"/>
                  <w:i/>
                </w:rPr>
              </m:ctrlPr>
            </m:sub>
          </m:sSub>
          <m:r>
            <m:rPr/>
            <w:rPr>
              <w:rFonts w:hint="eastAsia" w:ascii="Cambria Math" w:hAnsi="Cambria Math"/>
            </w:rPr>
            <m:t>=投资回报率数值分数权值</m:t>
          </m:r>
        </m:oMath>
      </m:oMathPara>
    </w:p>
    <w:p w14:paraId="30892703">
      <w:pPr>
        <w:adjustRightInd w:val="0"/>
        <w:snapToGrid w:val="0"/>
        <w:spacing w:line="360" w:lineRule="auto"/>
        <w:ind w:right="210" w:rightChars="100" w:firstLine="420" w:firstLineChars="200"/>
        <w:jc w:val="left"/>
        <w:rPr>
          <w:rFonts w:ascii="宋体"/>
          <w:bCs/>
        </w:rPr>
      </w:pPr>
      <w:r>
        <w:rPr>
          <w:rFonts w:hint="eastAsia" w:ascii="宋体"/>
          <w:bCs/>
        </w:rPr>
        <w:t>设置：</w:t>
      </w:r>
    </w:p>
    <w:p w14:paraId="13EBC3E7">
      <w:pPr>
        <w:adjustRightInd w:val="0"/>
        <w:snapToGrid w:val="0"/>
        <w:spacing w:line="360" w:lineRule="auto"/>
        <w:ind w:left="998" w:leftChars="475" w:right="210" w:rightChars="100" w:firstLine="420" w:firstLineChars="200"/>
        <w:jc w:val="left"/>
        <w:rPr>
          <w:rFonts w:ascii="宋体"/>
          <w:bCs/>
        </w:rPr>
      </w:pPr>
      <m:oMathPara>
        <m:oMathParaPr>
          <m:jc m:val="left"/>
        </m:oMathParaPr>
        <m:oMath>
          <m:sSub>
            <m:sSubPr>
              <m:ctrlPr>
                <w:rPr>
                  <w:rFonts w:ascii="Cambria Math" w:hAnsi="Cambria Math"/>
                  <w:i/>
                </w:rPr>
              </m:ctrlPr>
            </m:sSubPr>
            <m:e>
              <m:r>
                <m:rPr/>
                <w:rPr>
                  <w:rFonts w:hint="eastAsia" w:ascii="Cambria Math" w:hAnsi="Cambria Math"/>
                </w:rPr>
                <m:t>w</m:t>
              </m:r>
              <m:ctrlPr>
                <w:rPr>
                  <w:rFonts w:ascii="Cambria Math" w:hAnsi="Cambria Math"/>
                  <w:i/>
                </w:rPr>
              </m:ctrlPr>
            </m:e>
            <m:sub>
              <m:r>
                <m:rPr/>
                <w:rPr>
                  <w:rFonts w:hint="eastAsia" w:ascii="Cambria Math" w:hAnsi="Cambria Math"/>
                </w:rPr>
                <m:t>rr</m:t>
              </m:r>
              <m:ctrlPr>
                <w:rPr>
                  <w:rFonts w:ascii="Cambria Math" w:hAnsi="Cambria Math"/>
                  <w:i/>
                </w:rPr>
              </m:ctrlPr>
            </m:sub>
          </m:sSub>
          <m:r>
            <m:rPr/>
            <w:rPr>
              <w:rFonts w:hint="eastAsia" w:ascii="Cambria Math" w:hAnsi="Cambria Math"/>
            </w:rPr>
            <m:t>=</m:t>
          </m:r>
          <m:r>
            <m:rPr/>
            <w:rPr>
              <w:rFonts w:ascii="Cambria Math" w:hAnsi="Cambria Math"/>
            </w:rPr>
            <m:t>80</m:t>
          </m:r>
        </m:oMath>
      </m:oMathPara>
    </w:p>
    <w:p w14:paraId="38FF2C6E">
      <w:pPr>
        <w:adjustRightInd w:val="0"/>
        <w:snapToGrid w:val="0"/>
        <w:spacing w:line="360" w:lineRule="auto"/>
        <w:ind w:left="998" w:leftChars="475" w:right="210" w:rightChars="100" w:firstLine="420" w:firstLineChars="200"/>
        <w:jc w:val="left"/>
        <w:rPr>
          <w:rFonts w:ascii="宋体"/>
          <w:bCs/>
        </w:rPr>
      </w:pPr>
      <m:oMathPara>
        <m:oMathParaPr>
          <m:jc m:val="left"/>
        </m:oMathParaPr>
        <m:oMath>
          <m:sSub>
            <m:sSubPr>
              <m:ctrlPr>
                <w:rPr>
                  <w:rFonts w:ascii="Cambria Math" w:hAnsi="Cambria Math"/>
                  <w:i/>
                </w:rPr>
              </m:ctrlPr>
            </m:sSubPr>
            <m:e>
              <m:r>
                <m:rPr/>
                <w:rPr>
                  <w:rFonts w:hint="eastAsia" w:ascii="Cambria Math" w:hAnsi="Cambria Math"/>
                </w:rPr>
                <m:t>w</m:t>
              </m:r>
              <m:ctrlPr>
                <w:rPr>
                  <w:rFonts w:ascii="Cambria Math" w:hAnsi="Cambria Math"/>
                  <w:i/>
                </w:rPr>
              </m:ctrlPr>
            </m:e>
            <m:sub>
              <m:r>
                <m:rPr/>
                <w:rPr>
                  <w:rFonts w:hint="eastAsia" w:ascii="Cambria Math" w:hAnsi="Cambria Math"/>
                </w:rPr>
                <m:t>rv</m:t>
              </m:r>
              <m:ctrlPr>
                <w:rPr>
                  <w:rFonts w:ascii="Cambria Math" w:hAnsi="Cambria Math"/>
                  <w:i/>
                </w:rPr>
              </m:ctrlPr>
            </m:sub>
          </m:sSub>
          <m:r>
            <m:rPr/>
            <w:rPr>
              <w:rFonts w:hint="eastAsia" w:ascii="Cambria Math" w:hAnsi="Cambria Math"/>
            </w:rPr>
            <m:t>=</m:t>
          </m:r>
          <m:r>
            <m:rPr/>
            <w:rPr>
              <w:rFonts w:ascii="Cambria Math" w:hAnsi="Cambria Math"/>
            </w:rPr>
            <m:t>20</m:t>
          </m:r>
        </m:oMath>
      </m:oMathPara>
    </w:p>
    <w:p w14:paraId="6EEF06AE">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①投资回报率数值分数</w:t>
      </w:r>
    </w:p>
    <w:p w14:paraId="3998774E">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投资回报率数值分采用分档方式计算，根据投资回报率所处档次计算其对应分数。</w:t>
      </w:r>
    </w:p>
    <w:p w14:paraId="364C4420">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投资回报率数值分数计算公式：</w:t>
      </w:r>
    </w:p>
    <w:p w14:paraId="6887AD42">
      <w:pPr>
        <w:adjustRightInd w:val="0"/>
        <w:snapToGrid w:val="0"/>
        <w:spacing w:line="360" w:lineRule="auto"/>
        <w:ind w:right="210" w:rightChars="100" w:firstLine="420" w:firstLineChars="200"/>
        <w:jc w:val="left"/>
        <w:rPr>
          <w:rFonts w:ascii="宋体"/>
          <w:bCs/>
        </w:rPr>
      </w:pPr>
      <m:oMathPara>
        <m:oMath>
          <m:sSub>
            <m:sSubPr>
              <m:ctrlPr>
                <w:rPr>
                  <w:rFonts w:ascii="Cambria Math" w:hAnsi="Cambria Math"/>
                </w:rPr>
              </m:ctrlPr>
            </m:sSubPr>
            <m:e>
              <m:r>
                <m:rPr/>
                <w:rPr>
                  <w:rFonts w:ascii="Cambria Math" w:hAnsi="Cambria Math"/>
                </w:rPr>
                <m:t>S</m:t>
              </m:r>
              <m:ctrlPr>
                <w:rPr>
                  <w:rFonts w:ascii="Cambria Math" w:hAnsi="Cambria Math"/>
                </w:rPr>
              </m:ctrlPr>
            </m:e>
            <m:sub>
              <m:r>
                <m:rPr/>
                <w:rPr>
                  <w:rFonts w:ascii="Cambria Math" w:hAnsi="Cambria Math"/>
                </w:rPr>
                <m:t>rv</m:t>
              </m:r>
              <m:ctrlPr>
                <w:rPr>
                  <w:rFonts w:ascii="Cambria Math" w:hAnsi="Cambria Math"/>
                </w:rPr>
              </m:ctrlPr>
            </m:sub>
          </m:sSub>
          <m:r>
            <m:rPr/>
            <w:rPr>
              <w:rFonts w:ascii="Cambria Math" w:hAnsi="Cambria Math"/>
            </w:rPr>
            <m:t>=</m:t>
          </m:r>
          <m:d>
            <m:dPr>
              <m:begChr m:val="{"/>
              <m:endChr m:val=""/>
              <m:ctrlPr>
                <w:rPr>
                  <w:rFonts w:ascii="Cambria Math" w:hAnsi="Cambria Math"/>
                  <w:i/>
                </w:rPr>
              </m:ctrlPr>
            </m:dPr>
            <m:e>
              <m:m>
                <m:mPr>
                  <m:mcs>
                    <m:mc>
                      <m:mcPr>
                        <m:count m:val="1"/>
                        <m:mcJc m:val="center"/>
                      </m:mcPr>
                    </m:mc>
                    <m:mc>
                      <m:mcPr>
                        <m:count m:val="1"/>
                        <m:mcJc m:val="left"/>
                      </m:mcPr>
                    </m:mc>
                  </m:mcs>
                  <m:plcHide m:val="1"/>
                  <m:ctrlPr>
                    <w:rPr>
                      <w:rFonts w:ascii="Cambria Math" w:hAnsi="Cambria Math"/>
                    </w:rPr>
                  </m:ctrlPr>
                </m:mPr>
                <m:mr>
                  <m:e>
                    <m:sSub>
                      <m:sSubPr>
                        <m:ctrlPr>
                          <w:rPr>
                            <w:rFonts w:ascii="Cambria Math" w:hAnsi="Cambria Math"/>
                          </w:rPr>
                        </m:ctrlPr>
                      </m:sSubPr>
                      <m:e>
                        <m:r>
                          <m:rPr/>
                          <w:rPr>
                            <w:rFonts w:ascii="Cambria Math" w:hAnsi="Cambria Math"/>
                          </w:rPr>
                          <m:t>S</m:t>
                        </m:r>
                        <m:ctrlPr>
                          <w:rPr>
                            <w:rFonts w:ascii="Cambria Math" w:hAnsi="Cambria Math"/>
                          </w:rPr>
                        </m:ctrlPr>
                      </m:e>
                      <m:sub>
                        <m:r>
                          <m:rPr/>
                          <w:rPr>
                            <w:rFonts w:ascii="Cambria Math" w:hAnsi="Cambria Math"/>
                          </w:rPr>
                          <m:t>0</m:t>
                        </m:r>
                        <m:ctrlPr>
                          <w:rPr>
                            <w:rFonts w:ascii="Cambria Math" w:hAnsi="Cambria Math"/>
                          </w:rPr>
                        </m:ctrlPr>
                      </m:sub>
                    </m:sSub>
                    <m:r>
                      <m:rPr/>
                      <w:rPr>
                        <w:rFonts w:ascii="Cambria Math" w:hAnsi="Cambria Math"/>
                      </w:rPr>
                      <m:t xml:space="preserve">,                                                            </m:t>
                    </m:r>
                    <m:ctrlPr>
                      <w:rPr>
                        <w:rFonts w:ascii="Cambria Math" w:hAnsi="Cambria Math"/>
                      </w:rPr>
                    </m:ctrlPr>
                  </m:e>
                  <m:e>
                    <m:r>
                      <m:rPr/>
                      <w:rPr>
                        <w:rFonts w:ascii="Cambria Math" w:hAnsi="Cambria Math"/>
                      </w:rPr>
                      <m:t>ROI&lt;</m:t>
                    </m:r>
                    <m:sSub>
                      <m:sSubPr>
                        <m:ctrlPr>
                          <w:rPr>
                            <w:rFonts w:ascii="Cambria Math" w:hAnsi="Cambria Math"/>
                          </w:rPr>
                        </m:ctrlPr>
                      </m:sSubPr>
                      <m:e>
                        <m:r>
                          <m:rPr/>
                          <w:rPr>
                            <w:rFonts w:ascii="Cambria Math" w:hAnsi="Cambria Math"/>
                          </w:rPr>
                          <m:t>R</m:t>
                        </m:r>
                        <m:ctrlPr>
                          <w:rPr>
                            <w:rFonts w:ascii="Cambria Math" w:hAnsi="Cambria Math"/>
                          </w:rPr>
                        </m:ctrlPr>
                      </m:e>
                      <m:sub>
                        <m:r>
                          <m:rPr/>
                          <w:rPr>
                            <w:rFonts w:ascii="Cambria Math" w:hAnsi="Cambria Math"/>
                          </w:rPr>
                          <m:t>0</m:t>
                        </m:r>
                        <m:ctrlPr>
                          <w:rPr>
                            <w:rFonts w:ascii="Cambria Math" w:hAnsi="Cambria Math"/>
                          </w:rPr>
                        </m:ctrlPr>
                      </m:sub>
                    </m:sSub>
                    <m:ctrlPr>
                      <w:rPr>
                        <w:rFonts w:ascii="Cambria Math" w:hAnsi="Cambria Math"/>
                      </w:rPr>
                    </m:ctrlPr>
                  </m:e>
                </m:mr>
                <m:mr>
                  <m:e>
                    <m:ctrlPr>
                      <w:rPr>
                        <w:rFonts w:ascii="Cambria Math" w:hAnsi="Cambria Math"/>
                      </w:rPr>
                    </m:ctrlPr>
                  </m:e>
                  <m:e>
                    <m:ctrlPr>
                      <w:rPr>
                        <w:rFonts w:ascii="Cambria Math" w:hAnsi="Cambria Math"/>
                      </w:rPr>
                    </m:ctrlPr>
                  </m:e>
                </m:mr>
                <m:mr>
                  <m:e>
                    <m:sSub>
                      <m:sSubPr>
                        <m:ctrlPr>
                          <w:rPr>
                            <w:rFonts w:ascii="Cambria Math" w:hAnsi="Cambria Math"/>
                          </w:rPr>
                        </m:ctrlPr>
                      </m:sSubPr>
                      <m:e>
                        <m:r>
                          <m:rPr/>
                          <w:rPr>
                            <w:rFonts w:ascii="Cambria Math" w:hAnsi="Cambria Math"/>
                          </w:rPr>
                          <m:t>S</m:t>
                        </m:r>
                        <m:ctrlPr>
                          <w:rPr>
                            <w:rFonts w:ascii="Cambria Math" w:hAnsi="Cambria Math"/>
                          </w:rPr>
                        </m:ctrlPr>
                      </m:e>
                      <m:sub>
                        <m:r>
                          <m:rPr/>
                          <w:rPr>
                            <w:rFonts w:ascii="Cambria Math" w:hAnsi="Cambria Math"/>
                          </w:rPr>
                          <m:t>0</m:t>
                        </m:r>
                        <m:ctrlPr>
                          <w:rPr>
                            <w:rFonts w:ascii="Cambria Math" w:hAnsi="Cambria Math"/>
                          </w:rPr>
                        </m:ctrlPr>
                      </m:sub>
                    </m:sSub>
                    <m:r>
                      <m:rPr/>
                      <w:rPr>
                        <w:rFonts w:ascii="Cambria Math" w:hAnsi="Cambria Math"/>
                      </w:rPr>
                      <m:t>+</m:t>
                    </m:r>
                    <m:f>
                      <m:fPr>
                        <m:ctrlPr>
                          <w:rPr>
                            <w:rFonts w:ascii="Cambria Math" w:hAnsi="Cambria Math"/>
                          </w:rPr>
                        </m:ctrlPr>
                      </m:fPr>
                      <m:num>
                        <m:sSub>
                          <m:sSubPr>
                            <m:ctrlPr>
                              <w:rPr>
                                <w:rFonts w:ascii="Cambria Math" w:hAnsi="Cambria Math"/>
                              </w:rPr>
                            </m:ctrlPr>
                          </m:sSubPr>
                          <m:e>
                            <m:r>
                              <m:rPr/>
                              <w:rPr>
                                <w:rFonts w:ascii="Cambria Math" w:hAnsi="Cambria Math"/>
                              </w:rPr>
                              <m:t>S</m:t>
                            </m:r>
                            <m:ctrlPr>
                              <w:rPr>
                                <w:rFonts w:ascii="Cambria Math" w:hAnsi="Cambria Math"/>
                              </w:rPr>
                            </m:ctrlPr>
                          </m:e>
                          <m:sub>
                            <m:r>
                              <m:rPr/>
                              <w:rPr>
                                <w:rFonts w:ascii="Cambria Math" w:hAnsi="Cambria Math"/>
                              </w:rPr>
                              <m:t>1</m:t>
                            </m:r>
                            <m:ctrlPr>
                              <w:rPr>
                                <w:rFonts w:ascii="Cambria Math" w:hAnsi="Cambria Math"/>
                              </w:rPr>
                            </m:ctrlPr>
                          </m:sub>
                        </m:sSub>
                        <m:r>
                          <m:rPr/>
                          <w:rPr>
                            <w:rFonts w:ascii="Cambria Math" w:hAnsi="Cambria Math"/>
                          </w:rPr>
                          <m:t>−</m:t>
                        </m:r>
                        <m:sSub>
                          <m:sSubPr>
                            <m:ctrlPr>
                              <w:rPr>
                                <w:rFonts w:ascii="Cambria Math" w:hAnsi="Cambria Math"/>
                              </w:rPr>
                            </m:ctrlPr>
                          </m:sSubPr>
                          <m:e>
                            <m:r>
                              <m:rPr/>
                              <w:rPr>
                                <w:rFonts w:ascii="Cambria Math" w:hAnsi="Cambria Math"/>
                              </w:rPr>
                              <m:t>S</m:t>
                            </m:r>
                            <m:ctrlPr>
                              <w:rPr>
                                <w:rFonts w:ascii="Cambria Math" w:hAnsi="Cambria Math"/>
                              </w:rPr>
                            </m:ctrlPr>
                          </m:e>
                          <m:sub>
                            <m:r>
                              <m:rPr/>
                              <w:rPr>
                                <w:rFonts w:ascii="Cambria Math" w:hAnsi="Cambria Math"/>
                              </w:rPr>
                              <m:t>0</m:t>
                            </m:r>
                            <m:ctrlPr>
                              <w:rPr>
                                <w:rFonts w:ascii="Cambria Math" w:hAnsi="Cambria Math"/>
                              </w:rPr>
                            </m:ctrlPr>
                          </m:sub>
                        </m:sSub>
                        <m:ctrlPr>
                          <w:rPr>
                            <w:rFonts w:ascii="Cambria Math" w:hAnsi="Cambria Math"/>
                          </w:rPr>
                        </m:ctrlPr>
                      </m:num>
                      <m:den>
                        <m:sSub>
                          <m:sSubPr>
                            <m:ctrlPr>
                              <w:rPr>
                                <w:rFonts w:ascii="Cambria Math" w:hAnsi="Cambria Math"/>
                              </w:rPr>
                            </m:ctrlPr>
                          </m:sSubPr>
                          <m:e>
                            <m:r>
                              <m:rPr/>
                              <w:rPr>
                                <w:rFonts w:ascii="Cambria Math" w:hAnsi="Cambria Math"/>
                              </w:rPr>
                              <m:t>R</m:t>
                            </m:r>
                            <m:ctrlPr>
                              <w:rPr>
                                <w:rFonts w:ascii="Cambria Math" w:hAnsi="Cambria Math"/>
                              </w:rPr>
                            </m:ctrlPr>
                          </m:e>
                          <m:sub>
                            <m:r>
                              <m:rPr/>
                              <w:rPr>
                                <w:rFonts w:ascii="Cambria Math" w:hAnsi="Cambria Math"/>
                              </w:rPr>
                              <m:t>1</m:t>
                            </m:r>
                            <m:ctrlPr>
                              <w:rPr>
                                <w:rFonts w:ascii="Cambria Math" w:hAnsi="Cambria Math"/>
                              </w:rPr>
                            </m:ctrlPr>
                          </m:sub>
                        </m:sSub>
                        <m:r>
                          <m:rPr/>
                          <w:rPr>
                            <w:rFonts w:ascii="Cambria Math" w:hAnsi="Cambria Math"/>
                          </w:rPr>
                          <m:t>−</m:t>
                        </m:r>
                        <m:sSub>
                          <m:sSubPr>
                            <m:ctrlPr>
                              <w:rPr>
                                <w:rFonts w:ascii="Cambria Math" w:hAnsi="Cambria Math"/>
                              </w:rPr>
                            </m:ctrlPr>
                          </m:sSubPr>
                          <m:e>
                            <m:r>
                              <m:rPr/>
                              <w:rPr>
                                <w:rFonts w:ascii="Cambria Math" w:hAnsi="Cambria Math"/>
                              </w:rPr>
                              <m:t>R</m:t>
                            </m:r>
                            <m:ctrlPr>
                              <w:rPr>
                                <w:rFonts w:ascii="Cambria Math" w:hAnsi="Cambria Math"/>
                              </w:rPr>
                            </m:ctrlPr>
                          </m:e>
                          <m:sub>
                            <m:r>
                              <m:rPr/>
                              <w:rPr>
                                <w:rFonts w:ascii="Cambria Math" w:hAnsi="Cambria Math"/>
                              </w:rPr>
                              <m:t>0</m:t>
                            </m:r>
                            <m:ctrlPr>
                              <w:rPr>
                                <w:rFonts w:ascii="Cambria Math" w:hAnsi="Cambria Math"/>
                              </w:rPr>
                            </m:ctrlPr>
                          </m:sub>
                        </m:sSub>
                        <m:ctrlPr>
                          <w:rPr>
                            <w:rFonts w:ascii="Cambria Math" w:hAnsi="Cambria Math"/>
                          </w:rPr>
                        </m:ctrlPr>
                      </m:den>
                    </m:f>
                    <m:r>
                      <m:rPr/>
                      <w:rPr>
                        <w:rFonts w:ascii="Cambria Math" w:hAnsi="Cambria Math"/>
                      </w:rPr>
                      <m:t>×</m:t>
                    </m:r>
                    <m:d>
                      <m:dPr>
                        <m:ctrlPr>
                          <w:rPr>
                            <w:rFonts w:ascii="Cambria Math" w:hAnsi="Cambria Math"/>
                            <w:i/>
                          </w:rPr>
                        </m:ctrlPr>
                      </m:dPr>
                      <m:e>
                        <m:r>
                          <m:rPr/>
                          <w:rPr>
                            <w:rFonts w:ascii="Cambria Math" w:hAnsi="Cambria Math"/>
                          </w:rPr>
                          <m:t>ROI−</m:t>
                        </m:r>
                        <m:sSub>
                          <m:sSubPr>
                            <m:ctrlPr>
                              <w:rPr>
                                <w:rFonts w:ascii="Cambria Math" w:hAnsi="Cambria Math"/>
                              </w:rPr>
                            </m:ctrlPr>
                          </m:sSubPr>
                          <m:e>
                            <m:r>
                              <m:rPr/>
                              <w:rPr>
                                <w:rFonts w:ascii="Cambria Math" w:hAnsi="Cambria Math"/>
                              </w:rPr>
                              <m:t>R</m:t>
                            </m:r>
                            <m:ctrlPr>
                              <w:rPr>
                                <w:rFonts w:ascii="Cambria Math" w:hAnsi="Cambria Math"/>
                              </w:rPr>
                            </m:ctrlPr>
                          </m:e>
                          <m:sub>
                            <m:r>
                              <m:rPr/>
                              <w:rPr>
                                <w:rFonts w:ascii="Cambria Math" w:hAnsi="Cambria Math"/>
                              </w:rPr>
                              <m:t>0</m:t>
                            </m:r>
                            <m:ctrlPr>
                              <w:rPr>
                                <w:rFonts w:ascii="Cambria Math" w:hAnsi="Cambria Math"/>
                              </w:rPr>
                            </m:ctrlPr>
                          </m:sub>
                        </m:sSub>
                        <m:ctrlPr>
                          <w:rPr>
                            <w:rFonts w:ascii="Cambria Math" w:hAnsi="Cambria Math"/>
                          </w:rPr>
                        </m:ctrlPr>
                      </m:e>
                    </m:d>
                    <m:r>
                      <m:rPr/>
                      <w:rPr>
                        <w:rFonts w:ascii="Cambria Math" w:hAnsi="Cambria Math"/>
                      </w:rPr>
                      <m:t xml:space="preserve">,        </m:t>
                    </m:r>
                    <m:sSub>
                      <m:sSubPr>
                        <m:ctrlPr>
                          <w:rPr>
                            <w:rFonts w:ascii="Cambria Math" w:hAnsi="Cambria Math"/>
                          </w:rPr>
                        </m:ctrlPr>
                      </m:sSubPr>
                      <m:e>
                        <m:r>
                          <m:rPr/>
                          <w:rPr>
                            <w:rFonts w:ascii="Cambria Math" w:hAnsi="Cambria Math"/>
                          </w:rPr>
                          <m:t>R</m:t>
                        </m:r>
                        <m:ctrlPr>
                          <w:rPr>
                            <w:rFonts w:ascii="Cambria Math" w:hAnsi="Cambria Math"/>
                          </w:rPr>
                        </m:ctrlPr>
                      </m:e>
                      <m:sub>
                        <m:r>
                          <m:rPr/>
                          <w:rPr>
                            <w:rFonts w:ascii="Cambria Math" w:hAnsi="Cambria Math"/>
                          </w:rPr>
                          <m:t>0</m:t>
                        </m:r>
                        <m:ctrlPr>
                          <w:rPr>
                            <w:rFonts w:ascii="Cambria Math" w:hAnsi="Cambria Math"/>
                          </w:rPr>
                        </m:ctrlPr>
                      </m:sub>
                    </m:sSub>
                    <m:r>
                      <m:rPr/>
                      <w:rPr>
                        <w:rFonts w:ascii="Cambria Math" w:hAnsi="Cambria Math"/>
                      </w:rPr>
                      <m:t>≤</m:t>
                    </m:r>
                    <m:ctrlPr>
                      <w:rPr>
                        <w:rFonts w:ascii="Cambria Math" w:hAnsi="Cambria Math"/>
                      </w:rPr>
                    </m:ctrlPr>
                  </m:e>
                  <m:e>
                    <m:r>
                      <m:rPr/>
                      <w:rPr>
                        <w:rFonts w:ascii="Cambria Math" w:hAnsi="Cambria Math"/>
                      </w:rPr>
                      <m:t>ROI&lt;</m:t>
                    </m:r>
                    <m:sSub>
                      <m:sSubPr>
                        <m:ctrlPr>
                          <w:rPr>
                            <w:rFonts w:ascii="Cambria Math" w:hAnsi="Cambria Math"/>
                          </w:rPr>
                        </m:ctrlPr>
                      </m:sSubPr>
                      <m:e>
                        <m:r>
                          <m:rPr/>
                          <w:rPr>
                            <w:rFonts w:ascii="Cambria Math" w:hAnsi="Cambria Math"/>
                          </w:rPr>
                          <m:t>R</m:t>
                        </m:r>
                        <m:ctrlPr>
                          <w:rPr>
                            <w:rFonts w:ascii="Cambria Math" w:hAnsi="Cambria Math"/>
                          </w:rPr>
                        </m:ctrlPr>
                      </m:e>
                      <m:sub>
                        <m:r>
                          <m:rPr/>
                          <w:rPr>
                            <w:rFonts w:ascii="Cambria Math" w:hAnsi="Cambria Math"/>
                          </w:rPr>
                          <m:t>1</m:t>
                        </m:r>
                        <m:ctrlPr>
                          <w:rPr>
                            <w:rFonts w:ascii="Cambria Math" w:hAnsi="Cambria Math"/>
                          </w:rPr>
                        </m:ctrlPr>
                      </m:sub>
                    </m:sSub>
                    <m:ctrlPr>
                      <w:rPr>
                        <w:rFonts w:ascii="Cambria Math" w:hAnsi="Cambria Math"/>
                      </w:rPr>
                    </m:ctrlPr>
                  </m:e>
                </m:mr>
                <m:mr>
                  <m:e>
                    <m:ctrlPr>
                      <w:rPr>
                        <w:rFonts w:ascii="Cambria Math" w:hAnsi="Cambria Math"/>
                      </w:rPr>
                    </m:ctrlPr>
                  </m:e>
                  <m:e>
                    <m:ctrlPr>
                      <w:rPr>
                        <w:rFonts w:ascii="Cambria Math" w:hAnsi="Cambria Math"/>
                      </w:rPr>
                    </m:ctrlPr>
                  </m:e>
                </m:mr>
                <m:mr>
                  <m:e>
                    <m:sSub>
                      <m:sSubPr>
                        <m:ctrlPr>
                          <w:rPr>
                            <w:rFonts w:ascii="Cambria Math" w:hAnsi="Cambria Math"/>
                          </w:rPr>
                        </m:ctrlPr>
                      </m:sSubPr>
                      <m:e>
                        <m:r>
                          <m:rPr/>
                          <w:rPr>
                            <w:rFonts w:ascii="Cambria Math" w:hAnsi="Cambria Math"/>
                          </w:rPr>
                          <m:t>S</m:t>
                        </m:r>
                        <m:ctrlPr>
                          <w:rPr>
                            <w:rFonts w:ascii="Cambria Math" w:hAnsi="Cambria Math"/>
                          </w:rPr>
                        </m:ctrlPr>
                      </m:e>
                      <m:sub>
                        <m:r>
                          <m:rPr/>
                          <w:rPr>
                            <w:rFonts w:ascii="Cambria Math" w:hAnsi="Cambria Math"/>
                          </w:rPr>
                          <m:t>1</m:t>
                        </m:r>
                        <m:ctrlPr>
                          <w:rPr>
                            <w:rFonts w:ascii="Cambria Math" w:hAnsi="Cambria Math"/>
                          </w:rPr>
                        </m:ctrlPr>
                      </m:sub>
                    </m:sSub>
                    <m:r>
                      <m:rPr/>
                      <w:rPr>
                        <w:rFonts w:ascii="Cambria Math" w:hAnsi="Cambria Math"/>
                      </w:rPr>
                      <m:t>+</m:t>
                    </m:r>
                    <m:f>
                      <m:fPr>
                        <m:ctrlPr>
                          <w:rPr>
                            <w:rFonts w:ascii="Cambria Math" w:hAnsi="Cambria Math"/>
                          </w:rPr>
                        </m:ctrlPr>
                      </m:fPr>
                      <m:num>
                        <m:sSub>
                          <m:sSubPr>
                            <m:ctrlPr>
                              <w:rPr>
                                <w:rFonts w:ascii="Cambria Math" w:hAnsi="Cambria Math"/>
                              </w:rPr>
                            </m:ctrlPr>
                          </m:sSubPr>
                          <m:e>
                            <m:r>
                              <m:rPr/>
                              <w:rPr>
                                <w:rFonts w:ascii="Cambria Math" w:hAnsi="Cambria Math"/>
                              </w:rPr>
                              <m:t>S</m:t>
                            </m:r>
                            <m:ctrlPr>
                              <w:rPr>
                                <w:rFonts w:ascii="Cambria Math" w:hAnsi="Cambria Math"/>
                              </w:rPr>
                            </m:ctrlPr>
                          </m:e>
                          <m:sub>
                            <m:r>
                              <m:rPr/>
                              <w:rPr>
                                <w:rFonts w:ascii="Cambria Math" w:hAnsi="Cambria Math"/>
                              </w:rPr>
                              <m:t>2</m:t>
                            </m:r>
                            <m:ctrlPr>
                              <w:rPr>
                                <w:rFonts w:ascii="Cambria Math" w:hAnsi="Cambria Math"/>
                              </w:rPr>
                            </m:ctrlPr>
                          </m:sub>
                        </m:sSub>
                        <m:r>
                          <m:rPr/>
                          <w:rPr>
                            <w:rFonts w:ascii="Cambria Math" w:hAnsi="Cambria Math"/>
                          </w:rPr>
                          <m:t>−</m:t>
                        </m:r>
                        <m:sSub>
                          <m:sSubPr>
                            <m:ctrlPr>
                              <w:rPr>
                                <w:rFonts w:ascii="Cambria Math" w:hAnsi="Cambria Math"/>
                              </w:rPr>
                            </m:ctrlPr>
                          </m:sSubPr>
                          <m:e>
                            <m:r>
                              <m:rPr/>
                              <w:rPr>
                                <w:rFonts w:ascii="Cambria Math" w:hAnsi="Cambria Math"/>
                              </w:rPr>
                              <m:t>S</m:t>
                            </m:r>
                            <m:ctrlPr>
                              <w:rPr>
                                <w:rFonts w:ascii="Cambria Math" w:hAnsi="Cambria Math"/>
                              </w:rPr>
                            </m:ctrlPr>
                          </m:e>
                          <m:sub>
                            <m:r>
                              <m:rPr/>
                              <w:rPr>
                                <w:rFonts w:ascii="Cambria Math" w:hAnsi="Cambria Math"/>
                              </w:rPr>
                              <m:t>1</m:t>
                            </m:r>
                            <m:ctrlPr>
                              <w:rPr>
                                <w:rFonts w:ascii="Cambria Math" w:hAnsi="Cambria Math"/>
                              </w:rPr>
                            </m:ctrlPr>
                          </m:sub>
                        </m:sSub>
                        <m:ctrlPr>
                          <w:rPr>
                            <w:rFonts w:ascii="Cambria Math" w:hAnsi="Cambria Math"/>
                          </w:rPr>
                        </m:ctrlPr>
                      </m:num>
                      <m:den>
                        <m:sSub>
                          <m:sSubPr>
                            <m:ctrlPr>
                              <w:rPr>
                                <w:rFonts w:ascii="Cambria Math" w:hAnsi="Cambria Math"/>
                              </w:rPr>
                            </m:ctrlPr>
                          </m:sSubPr>
                          <m:e>
                            <m:r>
                              <m:rPr/>
                              <w:rPr>
                                <w:rFonts w:ascii="Cambria Math" w:hAnsi="Cambria Math"/>
                              </w:rPr>
                              <m:t>R</m:t>
                            </m:r>
                            <m:ctrlPr>
                              <w:rPr>
                                <w:rFonts w:ascii="Cambria Math" w:hAnsi="Cambria Math"/>
                              </w:rPr>
                            </m:ctrlPr>
                          </m:e>
                          <m:sub>
                            <m:r>
                              <m:rPr/>
                              <w:rPr>
                                <w:rFonts w:ascii="Cambria Math" w:hAnsi="Cambria Math"/>
                              </w:rPr>
                              <m:t>2</m:t>
                            </m:r>
                            <m:ctrlPr>
                              <w:rPr>
                                <w:rFonts w:ascii="Cambria Math" w:hAnsi="Cambria Math"/>
                              </w:rPr>
                            </m:ctrlPr>
                          </m:sub>
                        </m:sSub>
                        <m:r>
                          <m:rPr/>
                          <w:rPr>
                            <w:rFonts w:ascii="Cambria Math" w:hAnsi="Cambria Math"/>
                          </w:rPr>
                          <m:t>−</m:t>
                        </m:r>
                        <m:sSub>
                          <m:sSubPr>
                            <m:ctrlPr>
                              <w:rPr>
                                <w:rFonts w:ascii="Cambria Math" w:hAnsi="Cambria Math"/>
                              </w:rPr>
                            </m:ctrlPr>
                          </m:sSubPr>
                          <m:e>
                            <m:r>
                              <m:rPr/>
                              <w:rPr>
                                <w:rFonts w:ascii="Cambria Math" w:hAnsi="Cambria Math"/>
                              </w:rPr>
                              <m:t>R</m:t>
                            </m:r>
                            <m:ctrlPr>
                              <w:rPr>
                                <w:rFonts w:ascii="Cambria Math" w:hAnsi="Cambria Math"/>
                              </w:rPr>
                            </m:ctrlPr>
                          </m:e>
                          <m:sub>
                            <m:r>
                              <m:rPr/>
                              <w:rPr>
                                <w:rFonts w:ascii="Cambria Math" w:hAnsi="Cambria Math"/>
                              </w:rPr>
                              <m:t>1</m:t>
                            </m:r>
                            <m:ctrlPr>
                              <w:rPr>
                                <w:rFonts w:ascii="Cambria Math" w:hAnsi="Cambria Math"/>
                              </w:rPr>
                            </m:ctrlPr>
                          </m:sub>
                        </m:sSub>
                        <m:ctrlPr>
                          <w:rPr>
                            <w:rFonts w:ascii="Cambria Math" w:hAnsi="Cambria Math"/>
                          </w:rPr>
                        </m:ctrlPr>
                      </m:den>
                    </m:f>
                    <m:r>
                      <m:rPr/>
                      <w:rPr>
                        <w:rFonts w:ascii="Cambria Math" w:hAnsi="Cambria Math"/>
                      </w:rPr>
                      <m:t>×</m:t>
                    </m:r>
                    <m:d>
                      <m:dPr>
                        <m:ctrlPr>
                          <w:rPr>
                            <w:rFonts w:ascii="Cambria Math" w:hAnsi="Cambria Math"/>
                            <w:i/>
                          </w:rPr>
                        </m:ctrlPr>
                      </m:dPr>
                      <m:e>
                        <m:r>
                          <m:rPr/>
                          <w:rPr>
                            <w:rFonts w:ascii="Cambria Math" w:hAnsi="Cambria Math"/>
                          </w:rPr>
                          <m:t>ROI−</m:t>
                        </m:r>
                        <m:sSub>
                          <m:sSubPr>
                            <m:ctrlPr>
                              <w:rPr>
                                <w:rFonts w:ascii="Cambria Math" w:hAnsi="Cambria Math"/>
                              </w:rPr>
                            </m:ctrlPr>
                          </m:sSubPr>
                          <m:e>
                            <m:r>
                              <m:rPr/>
                              <w:rPr>
                                <w:rFonts w:ascii="Cambria Math" w:hAnsi="Cambria Math"/>
                              </w:rPr>
                              <m:t>R</m:t>
                            </m:r>
                            <m:ctrlPr>
                              <w:rPr>
                                <w:rFonts w:ascii="Cambria Math" w:hAnsi="Cambria Math"/>
                              </w:rPr>
                            </m:ctrlPr>
                          </m:e>
                          <m:sub>
                            <m:r>
                              <m:rPr/>
                              <w:rPr>
                                <w:rFonts w:ascii="Cambria Math" w:hAnsi="Cambria Math"/>
                              </w:rPr>
                              <m:t>1</m:t>
                            </m:r>
                            <m:ctrlPr>
                              <w:rPr>
                                <w:rFonts w:ascii="Cambria Math" w:hAnsi="Cambria Math"/>
                              </w:rPr>
                            </m:ctrlPr>
                          </m:sub>
                        </m:sSub>
                        <m:ctrlPr>
                          <w:rPr>
                            <w:rFonts w:ascii="Cambria Math" w:hAnsi="Cambria Math"/>
                          </w:rPr>
                        </m:ctrlPr>
                      </m:e>
                    </m:d>
                    <m:r>
                      <m:rPr/>
                      <w:rPr>
                        <w:rFonts w:ascii="Cambria Math" w:hAnsi="Cambria Math"/>
                      </w:rPr>
                      <m:t xml:space="preserve">,        </m:t>
                    </m:r>
                    <m:sSub>
                      <m:sSubPr>
                        <m:ctrlPr>
                          <w:rPr>
                            <w:rFonts w:ascii="Cambria Math" w:hAnsi="Cambria Math"/>
                          </w:rPr>
                        </m:ctrlPr>
                      </m:sSubPr>
                      <m:e>
                        <m:r>
                          <m:rPr/>
                          <w:rPr>
                            <w:rFonts w:ascii="Cambria Math" w:hAnsi="Cambria Math"/>
                          </w:rPr>
                          <m:t>R</m:t>
                        </m:r>
                        <m:ctrlPr>
                          <w:rPr>
                            <w:rFonts w:ascii="Cambria Math" w:hAnsi="Cambria Math"/>
                          </w:rPr>
                        </m:ctrlPr>
                      </m:e>
                      <m:sub>
                        <m:r>
                          <m:rPr/>
                          <w:rPr>
                            <w:rFonts w:ascii="Cambria Math" w:hAnsi="Cambria Math"/>
                          </w:rPr>
                          <m:t>1</m:t>
                        </m:r>
                        <m:ctrlPr>
                          <w:rPr>
                            <w:rFonts w:ascii="Cambria Math" w:hAnsi="Cambria Math"/>
                          </w:rPr>
                        </m:ctrlPr>
                      </m:sub>
                    </m:sSub>
                    <m:r>
                      <m:rPr/>
                      <w:rPr>
                        <w:rFonts w:ascii="Cambria Math" w:hAnsi="Cambria Math"/>
                      </w:rPr>
                      <m:t>≤</m:t>
                    </m:r>
                    <m:ctrlPr>
                      <w:rPr>
                        <w:rFonts w:ascii="Cambria Math" w:hAnsi="Cambria Math"/>
                      </w:rPr>
                    </m:ctrlPr>
                  </m:e>
                  <m:e>
                    <m:r>
                      <m:rPr/>
                      <w:rPr>
                        <w:rFonts w:ascii="Cambria Math" w:hAnsi="Cambria Math"/>
                      </w:rPr>
                      <m:t>ROI&lt;</m:t>
                    </m:r>
                    <m:sSub>
                      <m:sSubPr>
                        <m:ctrlPr>
                          <w:rPr>
                            <w:rFonts w:ascii="Cambria Math" w:hAnsi="Cambria Math"/>
                          </w:rPr>
                        </m:ctrlPr>
                      </m:sSubPr>
                      <m:e>
                        <m:r>
                          <m:rPr/>
                          <w:rPr>
                            <w:rFonts w:ascii="Cambria Math" w:hAnsi="Cambria Math"/>
                          </w:rPr>
                          <m:t>R</m:t>
                        </m:r>
                        <m:ctrlPr>
                          <w:rPr>
                            <w:rFonts w:ascii="Cambria Math" w:hAnsi="Cambria Math"/>
                          </w:rPr>
                        </m:ctrlPr>
                      </m:e>
                      <m:sub>
                        <m:r>
                          <m:rPr/>
                          <w:rPr>
                            <w:rFonts w:ascii="Cambria Math" w:hAnsi="Cambria Math"/>
                          </w:rPr>
                          <m:t>2</m:t>
                        </m:r>
                        <m:ctrlPr>
                          <w:rPr>
                            <w:rFonts w:ascii="Cambria Math" w:hAnsi="Cambria Math"/>
                          </w:rPr>
                        </m:ctrlPr>
                      </m:sub>
                    </m:sSub>
                    <m:ctrlPr>
                      <w:rPr>
                        <w:rFonts w:ascii="Cambria Math" w:hAnsi="Cambria Math"/>
                      </w:rPr>
                    </m:ctrlPr>
                  </m:e>
                </m:mr>
                <m:mr>
                  <m:e>
                    <m:ctrlPr>
                      <w:rPr>
                        <w:rFonts w:ascii="Cambria Math" w:hAnsi="Cambria Math"/>
                      </w:rPr>
                    </m:ctrlPr>
                  </m:e>
                  <m:e>
                    <m:ctrlPr>
                      <w:rPr>
                        <w:rFonts w:ascii="Cambria Math" w:hAnsi="Cambria Math"/>
                      </w:rPr>
                    </m:ctrlPr>
                  </m:e>
                </m:mr>
                <m:mr>
                  <m:e>
                    <m:sSub>
                      <m:sSubPr>
                        <m:ctrlPr>
                          <w:rPr>
                            <w:rFonts w:ascii="Cambria Math" w:hAnsi="Cambria Math"/>
                          </w:rPr>
                        </m:ctrlPr>
                      </m:sSubPr>
                      <m:e>
                        <m:r>
                          <m:rPr/>
                          <w:rPr>
                            <w:rFonts w:ascii="Cambria Math" w:hAnsi="Cambria Math"/>
                          </w:rPr>
                          <m:t>S</m:t>
                        </m:r>
                        <m:ctrlPr>
                          <w:rPr>
                            <w:rFonts w:ascii="Cambria Math" w:hAnsi="Cambria Math"/>
                          </w:rPr>
                        </m:ctrlPr>
                      </m:e>
                      <m:sub>
                        <m:r>
                          <m:rPr/>
                          <w:rPr>
                            <w:rFonts w:ascii="Cambria Math" w:hAnsi="Cambria Math"/>
                          </w:rPr>
                          <m:t>2</m:t>
                        </m:r>
                        <m:ctrlPr>
                          <w:rPr>
                            <w:rFonts w:ascii="Cambria Math" w:hAnsi="Cambria Math"/>
                          </w:rPr>
                        </m:ctrlPr>
                      </m:sub>
                    </m:sSub>
                    <m:r>
                      <m:rPr/>
                      <w:rPr>
                        <w:rFonts w:ascii="Cambria Math" w:hAnsi="Cambria Math"/>
                      </w:rPr>
                      <m:t>+</m:t>
                    </m:r>
                    <m:f>
                      <m:fPr>
                        <m:ctrlPr>
                          <w:rPr>
                            <w:rFonts w:ascii="Cambria Math" w:hAnsi="Cambria Math"/>
                          </w:rPr>
                        </m:ctrlPr>
                      </m:fPr>
                      <m:num>
                        <m:sSub>
                          <m:sSubPr>
                            <m:ctrlPr>
                              <w:rPr>
                                <w:rFonts w:ascii="Cambria Math" w:hAnsi="Cambria Math"/>
                              </w:rPr>
                            </m:ctrlPr>
                          </m:sSubPr>
                          <m:e>
                            <m:r>
                              <m:rPr/>
                              <w:rPr>
                                <w:rFonts w:ascii="Cambria Math" w:hAnsi="Cambria Math"/>
                              </w:rPr>
                              <m:t>S</m:t>
                            </m:r>
                            <m:ctrlPr>
                              <w:rPr>
                                <w:rFonts w:ascii="Cambria Math" w:hAnsi="Cambria Math"/>
                              </w:rPr>
                            </m:ctrlPr>
                          </m:e>
                          <m:sub>
                            <m:r>
                              <m:rPr/>
                              <w:rPr>
                                <w:rFonts w:ascii="Cambria Math" w:hAnsi="Cambria Math"/>
                              </w:rPr>
                              <m:t>3</m:t>
                            </m:r>
                            <m:ctrlPr>
                              <w:rPr>
                                <w:rFonts w:ascii="Cambria Math" w:hAnsi="Cambria Math"/>
                              </w:rPr>
                            </m:ctrlPr>
                          </m:sub>
                        </m:sSub>
                        <m:r>
                          <m:rPr/>
                          <w:rPr>
                            <w:rFonts w:ascii="Cambria Math" w:hAnsi="Cambria Math"/>
                          </w:rPr>
                          <m:t>−</m:t>
                        </m:r>
                        <m:sSub>
                          <m:sSubPr>
                            <m:ctrlPr>
                              <w:rPr>
                                <w:rFonts w:ascii="Cambria Math" w:hAnsi="Cambria Math"/>
                              </w:rPr>
                            </m:ctrlPr>
                          </m:sSubPr>
                          <m:e>
                            <m:r>
                              <m:rPr/>
                              <w:rPr>
                                <w:rFonts w:ascii="Cambria Math" w:hAnsi="Cambria Math"/>
                              </w:rPr>
                              <m:t>S</m:t>
                            </m:r>
                            <m:ctrlPr>
                              <w:rPr>
                                <w:rFonts w:ascii="Cambria Math" w:hAnsi="Cambria Math"/>
                              </w:rPr>
                            </m:ctrlPr>
                          </m:e>
                          <m:sub>
                            <m:r>
                              <m:rPr/>
                              <w:rPr>
                                <w:rFonts w:ascii="Cambria Math" w:hAnsi="Cambria Math"/>
                              </w:rPr>
                              <m:t>2</m:t>
                            </m:r>
                            <m:ctrlPr>
                              <w:rPr>
                                <w:rFonts w:ascii="Cambria Math" w:hAnsi="Cambria Math"/>
                              </w:rPr>
                            </m:ctrlPr>
                          </m:sub>
                        </m:sSub>
                        <m:ctrlPr>
                          <w:rPr>
                            <w:rFonts w:ascii="Cambria Math" w:hAnsi="Cambria Math"/>
                          </w:rPr>
                        </m:ctrlPr>
                      </m:num>
                      <m:den>
                        <m:sSub>
                          <m:sSubPr>
                            <m:ctrlPr>
                              <w:rPr>
                                <w:rFonts w:ascii="Cambria Math" w:hAnsi="Cambria Math"/>
                              </w:rPr>
                            </m:ctrlPr>
                          </m:sSubPr>
                          <m:e>
                            <m:r>
                              <m:rPr/>
                              <w:rPr>
                                <w:rFonts w:ascii="Cambria Math" w:hAnsi="Cambria Math"/>
                              </w:rPr>
                              <m:t>R</m:t>
                            </m:r>
                            <m:ctrlPr>
                              <w:rPr>
                                <w:rFonts w:ascii="Cambria Math" w:hAnsi="Cambria Math"/>
                              </w:rPr>
                            </m:ctrlPr>
                          </m:e>
                          <m:sub>
                            <m:r>
                              <m:rPr/>
                              <w:rPr>
                                <w:rFonts w:ascii="Cambria Math" w:hAnsi="Cambria Math"/>
                              </w:rPr>
                              <m:t>3</m:t>
                            </m:r>
                            <m:ctrlPr>
                              <w:rPr>
                                <w:rFonts w:ascii="Cambria Math" w:hAnsi="Cambria Math"/>
                              </w:rPr>
                            </m:ctrlPr>
                          </m:sub>
                        </m:sSub>
                        <m:r>
                          <m:rPr/>
                          <w:rPr>
                            <w:rFonts w:ascii="Cambria Math" w:hAnsi="Cambria Math"/>
                          </w:rPr>
                          <m:t>−</m:t>
                        </m:r>
                        <m:sSub>
                          <m:sSubPr>
                            <m:ctrlPr>
                              <w:rPr>
                                <w:rFonts w:ascii="Cambria Math" w:hAnsi="Cambria Math"/>
                              </w:rPr>
                            </m:ctrlPr>
                          </m:sSubPr>
                          <m:e>
                            <m:r>
                              <m:rPr/>
                              <w:rPr>
                                <w:rFonts w:ascii="Cambria Math" w:hAnsi="Cambria Math"/>
                              </w:rPr>
                              <m:t>R</m:t>
                            </m:r>
                            <m:ctrlPr>
                              <w:rPr>
                                <w:rFonts w:ascii="Cambria Math" w:hAnsi="Cambria Math"/>
                              </w:rPr>
                            </m:ctrlPr>
                          </m:e>
                          <m:sub>
                            <m:r>
                              <m:rPr/>
                              <w:rPr>
                                <w:rFonts w:ascii="Cambria Math" w:hAnsi="Cambria Math"/>
                              </w:rPr>
                              <m:t>2</m:t>
                            </m:r>
                            <m:ctrlPr>
                              <w:rPr>
                                <w:rFonts w:ascii="Cambria Math" w:hAnsi="Cambria Math"/>
                              </w:rPr>
                            </m:ctrlPr>
                          </m:sub>
                        </m:sSub>
                        <m:ctrlPr>
                          <w:rPr>
                            <w:rFonts w:ascii="Cambria Math" w:hAnsi="Cambria Math"/>
                          </w:rPr>
                        </m:ctrlPr>
                      </m:den>
                    </m:f>
                    <m:r>
                      <m:rPr/>
                      <w:rPr>
                        <w:rFonts w:ascii="Cambria Math" w:hAnsi="Cambria Math"/>
                      </w:rPr>
                      <m:t>×</m:t>
                    </m:r>
                    <m:d>
                      <m:dPr>
                        <m:ctrlPr>
                          <w:rPr>
                            <w:rFonts w:ascii="Cambria Math" w:hAnsi="Cambria Math"/>
                            <w:i/>
                          </w:rPr>
                        </m:ctrlPr>
                      </m:dPr>
                      <m:e>
                        <m:r>
                          <m:rPr/>
                          <w:rPr>
                            <w:rFonts w:ascii="Cambria Math" w:hAnsi="Cambria Math"/>
                          </w:rPr>
                          <m:t>ROI−</m:t>
                        </m:r>
                        <m:sSub>
                          <m:sSubPr>
                            <m:ctrlPr>
                              <w:rPr>
                                <w:rFonts w:ascii="Cambria Math" w:hAnsi="Cambria Math"/>
                              </w:rPr>
                            </m:ctrlPr>
                          </m:sSubPr>
                          <m:e>
                            <m:r>
                              <m:rPr/>
                              <w:rPr>
                                <w:rFonts w:ascii="Cambria Math" w:hAnsi="Cambria Math"/>
                              </w:rPr>
                              <m:t>R</m:t>
                            </m:r>
                            <m:ctrlPr>
                              <w:rPr>
                                <w:rFonts w:ascii="Cambria Math" w:hAnsi="Cambria Math"/>
                              </w:rPr>
                            </m:ctrlPr>
                          </m:e>
                          <m:sub>
                            <m:r>
                              <m:rPr/>
                              <w:rPr>
                                <w:rFonts w:ascii="Cambria Math" w:hAnsi="Cambria Math"/>
                              </w:rPr>
                              <m:t>2</m:t>
                            </m:r>
                            <m:ctrlPr>
                              <w:rPr>
                                <w:rFonts w:ascii="Cambria Math" w:hAnsi="Cambria Math"/>
                              </w:rPr>
                            </m:ctrlPr>
                          </m:sub>
                        </m:sSub>
                        <m:ctrlPr>
                          <w:rPr>
                            <w:rFonts w:ascii="Cambria Math" w:hAnsi="Cambria Math"/>
                          </w:rPr>
                        </m:ctrlPr>
                      </m:e>
                    </m:d>
                    <m:r>
                      <m:rPr/>
                      <w:rPr>
                        <w:rFonts w:ascii="Cambria Math" w:hAnsi="Cambria Math"/>
                      </w:rPr>
                      <m:t>,</m:t>
                    </m:r>
                    <m:sSub>
                      <m:sSubPr>
                        <m:ctrlPr>
                          <w:rPr>
                            <w:rFonts w:ascii="Cambria Math" w:hAnsi="Cambria Math"/>
                          </w:rPr>
                        </m:ctrlPr>
                      </m:sSubPr>
                      <m:e>
                        <m:r>
                          <m:rPr/>
                          <w:rPr>
                            <w:rFonts w:ascii="Cambria Math" w:hAnsi="Cambria Math"/>
                          </w:rPr>
                          <m:t xml:space="preserve">       R</m:t>
                        </m:r>
                        <m:ctrlPr>
                          <w:rPr>
                            <w:rFonts w:ascii="Cambria Math" w:hAnsi="Cambria Math"/>
                          </w:rPr>
                        </m:ctrlPr>
                      </m:e>
                      <m:sub>
                        <m:r>
                          <m:rPr/>
                          <w:rPr>
                            <w:rFonts w:ascii="Cambria Math" w:hAnsi="Cambria Math"/>
                          </w:rPr>
                          <m:t>2</m:t>
                        </m:r>
                        <m:ctrlPr>
                          <w:rPr>
                            <w:rFonts w:ascii="Cambria Math" w:hAnsi="Cambria Math"/>
                          </w:rPr>
                        </m:ctrlPr>
                      </m:sub>
                    </m:sSub>
                    <m:r>
                      <m:rPr/>
                      <w:rPr>
                        <w:rFonts w:ascii="Cambria Math" w:hAnsi="Cambria Math"/>
                      </w:rPr>
                      <m:t>≤</m:t>
                    </m:r>
                    <m:ctrlPr>
                      <w:rPr>
                        <w:rFonts w:ascii="Cambria Math" w:hAnsi="Cambria Math"/>
                      </w:rPr>
                    </m:ctrlPr>
                  </m:e>
                  <m:e>
                    <m:r>
                      <m:rPr/>
                      <w:rPr>
                        <w:rFonts w:ascii="Cambria Math" w:hAnsi="Cambria Math"/>
                      </w:rPr>
                      <m:t>ROI&lt;</m:t>
                    </m:r>
                    <m:sSub>
                      <m:sSubPr>
                        <m:ctrlPr>
                          <w:rPr>
                            <w:rFonts w:ascii="Cambria Math" w:hAnsi="Cambria Math"/>
                          </w:rPr>
                        </m:ctrlPr>
                      </m:sSubPr>
                      <m:e>
                        <m:r>
                          <m:rPr/>
                          <w:rPr>
                            <w:rFonts w:ascii="Cambria Math" w:hAnsi="Cambria Math"/>
                          </w:rPr>
                          <m:t>R</m:t>
                        </m:r>
                        <m:ctrlPr>
                          <w:rPr>
                            <w:rFonts w:ascii="Cambria Math" w:hAnsi="Cambria Math"/>
                          </w:rPr>
                        </m:ctrlPr>
                      </m:e>
                      <m:sub>
                        <m:r>
                          <m:rPr/>
                          <w:rPr>
                            <w:rFonts w:ascii="Cambria Math" w:hAnsi="Cambria Math"/>
                          </w:rPr>
                          <m:t>3</m:t>
                        </m:r>
                        <m:ctrlPr>
                          <w:rPr>
                            <w:rFonts w:ascii="Cambria Math" w:hAnsi="Cambria Math"/>
                          </w:rPr>
                        </m:ctrlPr>
                      </m:sub>
                    </m:sSub>
                    <m:ctrlPr>
                      <w:rPr>
                        <w:rFonts w:ascii="Cambria Math" w:hAnsi="Cambria Math"/>
                      </w:rPr>
                    </m:ctrlPr>
                  </m:e>
                </m:mr>
                <m:mr>
                  <m:e>
                    <m:ctrlPr>
                      <w:rPr>
                        <w:rFonts w:ascii="Cambria Math" w:hAnsi="Cambria Math"/>
                      </w:rPr>
                    </m:ctrlPr>
                  </m:e>
                  <m:e>
                    <m:ctrlPr>
                      <w:rPr>
                        <w:rFonts w:ascii="Cambria Math" w:hAnsi="Cambria Math"/>
                      </w:rPr>
                    </m:ctrlPr>
                  </m:e>
                </m:mr>
                <m:mr>
                  <m:e>
                    <m:sSub>
                      <m:sSubPr>
                        <m:ctrlPr>
                          <w:rPr>
                            <w:rFonts w:ascii="Cambria Math" w:hAnsi="Cambria Math"/>
                          </w:rPr>
                        </m:ctrlPr>
                      </m:sSubPr>
                      <m:e>
                        <m:r>
                          <m:rPr/>
                          <w:rPr>
                            <w:rFonts w:ascii="Cambria Math" w:hAnsi="Cambria Math"/>
                          </w:rPr>
                          <m:t>S</m:t>
                        </m:r>
                        <m:ctrlPr>
                          <w:rPr>
                            <w:rFonts w:ascii="Cambria Math" w:hAnsi="Cambria Math"/>
                          </w:rPr>
                        </m:ctrlPr>
                      </m:e>
                      <m:sub>
                        <m:r>
                          <m:rPr/>
                          <w:rPr>
                            <w:rFonts w:ascii="Cambria Math" w:hAnsi="Cambria Math"/>
                          </w:rPr>
                          <m:t>3</m:t>
                        </m:r>
                        <m:ctrlPr>
                          <w:rPr>
                            <w:rFonts w:ascii="Cambria Math" w:hAnsi="Cambria Math"/>
                          </w:rPr>
                        </m:ctrlPr>
                      </m:sub>
                    </m:sSub>
                    <m:r>
                      <m:rPr/>
                      <w:rPr>
                        <w:rFonts w:ascii="Cambria Math" w:hAnsi="Cambria Math"/>
                      </w:rPr>
                      <m:t>+</m:t>
                    </m:r>
                    <m:f>
                      <m:fPr>
                        <m:ctrlPr>
                          <w:rPr>
                            <w:rFonts w:ascii="Cambria Math" w:hAnsi="Cambria Math"/>
                          </w:rPr>
                        </m:ctrlPr>
                      </m:fPr>
                      <m:num>
                        <m:sSub>
                          <m:sSubPr>
                            <m:ctrlPr>
                              <w:rPr>
                                <w:rFonts w:ascii="Cambria Math" w:hAnsi="Cambria Math"/>
                              </w:rPr>
                            </m:ctrlPr>
                          </m:sSubPr>
                          <m:e>
                            <m:r>
                              <m:rPr/>
                              <w:rPr>
                                <w:rFonts w:ascii="Cambria Math" w:hAnsi="Cambria Math"/>
                              </w:rPr>
                              <m:t>S</m:t>
                            </m:r>
                            <m:ctrlPr>
                              <w:rPr>
                                <w:rFonts w:ascii="Cambria Math" w:hAnsi="Cambria Math"/>
                              </w:rPr>
                            </m:ctrlPr>
                          </m:e>
                          <m:sub>
                            <m:r>
                              <m:rPr/>
                              <w:rPr>
                                <w:rFonts w:ascii="Cambria Math" w:hAnsi="Cambria Math"/>
                              </w:rPr>
                              <m:t>4</m:t>
                            </m:r>
                            <m:ctrlPr>
                              <w:rPr>
                                <w:rFonts w:ascii="Cambria Math" w:hAnsi="Cambria Math"/>
                              </w:rPr>
                            </m:ctrlPr>
                          </m:sub>
                        </m:sSub>
                        <m:r>
                          <m:rPr/>
                          <w:rPr>
                            <w:rFonts w:ascii="Cambria Math" w:hAnsi="Cambria Math"/>
                          </w:rPr>
                          <m:t>−</m:t>
                        </m:r>
                        <m:sSub>
                          <m:sSubPr>
                            <m:ctrlPr>
                              <w:rPr>
                                <w:rFonts w:ascii="Cambria Math" w:hAnsi="Cambria Math"/>
                              </w:rPr>
                            </m:ctrlPr>
                          </m:sSubPr>
                          <m:e>
                            <m:r>
                              <m:rPr/>
                              <w:rPr>
                                <w:rFonts w:ascii="Cambria Math" w:hAnsi="Cambria Math"/>
                              </w:rPr>
                              <m:t>S</m:t>
                            </m:r>
                            <m:ctrlPr>
                              <w:rPr>
                                <w:rFonts w:ascii="Cambria Math" w:hAnsi="Cambria Math"/>
                              </w:rPr>
                            </m:ctrlPr>
                          </m:e>
                          <m:sub>
                            <m:r>
                              <m:rPr/>
                              <w:rPr>
                                <w:rFonts w:ascii="Cambria Math" w:hAnsi="Cambria Math"/>
                              </w:rPr>
                              <m:t>3</m:t>
                            </m:r>
                            <m:ctrlPr>
                              <w:rPr>
                                <w:rFonts w:ascii="Cambria Math" w:hAnsi="Cambria Math"/>
                              </w:rPr>
                            </m:ctrlPr>
                          </m:sub>
                        </m:sSub>
                        <m:ctrlPr>
                          <w:rPr>
                            <w:rFonts w:ascii="Cambria Math" w:hAnsi="Cambria Math"/>
                          </w:rPr>
                        </m:ctrlPr>
                      </m:num>
                      <m:den>
                        <m:sSub>
                          <m:sSubPr>
                            <m:ctrlPr>
                              <w:rPr>
                                <w:rFonts w:ascii="Cambria Math" w:hAnsi="Cambria Math"/>
                              </w:rPr>
                            </m:ctrlPr>
                          </m:sSubPr>
                          <m:e>
                            <m:r>
                              <m:rPr/>
                              <w:rPr>
                                <w:rFonts w:ascii="Cambria Math" w:hAnsi="Cambria Math"/>
                              </w:rPr>
                              <m:t>R</m:t>
                            </m:r>
                            <m:ctrlPr>
                              <w:rPr>
                                <w:rFonts w:ascii="Cambria Math" w:hAnsi="Cambria Math"/>
                              </w:rPr>
                            </m:ctrlPr>
                          </m:e>
                          <m:sub>
                            <m:r>
                              <m:rPr/>
                              <w:rPr>
                                <w:rFonts w:ascii="Cambria Math" w:hAnsi="Cambria Math"/>
                              </w:rPr>
                              <m:t>4</m:t>
                            </m:r>
                            <m:ctrlPr>
                              <w:rPr>
                                <w:rFonts w:ascii="Cambria Math" w:hAnsi="Cambria Math"/>
                              </w:rPr>
                            </m:ctrlPr>
                          </m:sub>
                        </m:sSub>
                        <m:r>
                          <m:rPr/>
                          <w:rPr>
                            <w:rFonts w:ascii="Cambria Math" w:hAnsi="Cambria Math"/>
                          </w:rPr>
                          <m:t>−</m:t>
                        </m:r>
                        <m:sSub>
                          <m:sSubPr>
                            <m:ctrlPr>
                              <w:rPr>
                                <w:rFonts w:ascii="Cambria Math" w:hAnsi="Cambria Math"/>
                              </w:rPr>
                            </m:ctrlPr>
                          </m:sSubPr>
                          <m:e>
                            <m:r>
                              <m:rPr/>
                              <w:rPr>
                                <w:rFonts w:ascii="Cambria Math" w:hAnsi="Cambria Math"/>
                              </w:rPr>
                              <m:t>R</m:t>
                            </m:r>
                            <m:ctrlPr>
                              <w:rPr>
                                <w:rFonts w:ascii="Cambria Math" w:hAnsi="Cambria Math"/>
                              </w:rPr>
                            </m:ctrlPr>
                          </m:e>
                          <m:sub>
                            <m:r>
                              <m:rPr/>
                              <w:rPr>
                                <w:rFonts w:ascii="Cambria Math" w:hAnsi="Cambria Math"/>
                              </w:rPr>
                              <m:t>3</m:t>
                            </m:r>
                            <m:ctrlPr>
                              <w:rPr>
                                <w:rFonts w:ascii="Cambria Math" w:hAnsi="Cambria Math"/>
                              </w:rPr>
                            </m:ctrlPr>
                          </m:sub>
                        </m:sSub>
                        <m:ctrlPr>
                          <w:rPr>
                            <w:rFonts w:ascii="Cambria Math" w:hAnsi="Cambria Math"/>
                          </w:rPr>
                        </m:ctrlPr>
                      </m:den>
                    </m:f>
                    <m:r>
                      <m:rPr/>
                      <w:rPr>
                        <w:rFonts w:ascii="Cambria Math" w:hAnsi="Cambria Math"/>
                      </w:rPr>
                      <m:t>×</m:t>
                    </m:r>
                    <m:d>
                      <m:dPr>
                        <m:ctrlPr>
                          <w:rPr>
                            <w:rFonts w:ascii="Cambria Math" w:hAnsi="Cambria Math"/>
                            <w:i/>
                          </w:rPr>
                        </m:ctrlPr>
                      </m:dPr>
                      <m:e>
                        <m:r>
                          <m:rPr/>
                          <w:rPr>
                            <w:rFonts w:ascii="Cambria Math" w:hAnsi="Cambria Math"/>
                          </w:rPr>
                          <m:t>ROI−</m:t>
                        </m:r>
                        <m:sSub>
                          <m:sSubPr>
                            <m:ctrlPr>
                              <w:rPr>
                                <w:rFonts w:ascii="Cambria Math" w:hAnsi="Cambria Math"/>
                              </w:rPr>
                            </m:ctrlPr>
                          </m:sSubPr>
                          <m:e>
                            <m:r>
                              <m:rPr/>
                              <w:rPr>
                                <w:rFonts w:ascii="Cambria Math" w:hAnsi="Cambria Math"/>
                              </w:rPr>
                              <m:t>R</m:t>
                            </m:r>
                            <m:ctrlPr>
                              <w:rPr>
                                <w:rFonts w:ascii="Cambria Math" w:hAnsi="Cambria Math"/>
                              </w:rPr>
                            </m:ctrlPr>
                          </m:e>
                          <m:sub>
                            <m:r>
                              <m:rPr/>
                              <w:rPr>
                                <w:rFonts w:ascii="Cambria Math" w:hAnsi="Cambria Math"/>
                              </w:rPr>
                              <m:t>3</m:t>
                            </m:r>
                            <m:ctrlPr>
                              <w:rPr>
                                <w:rFonts w:ascii="Cambria Math" w:hAnsi="Cambria Math"/>
                              </w:rPr>
                            </m:ctrlPr>
                          </m:sub>
                        </m:sSub>
                        <m:ctrlPr>
                          <w:rPr>
                            <w:rFonts w:ascii="Cambria Math" w:hAnsi="Cambria Math"/>
                          </w:rPr>
                        </m:ctrlPr>
                      </m:e>
                    </m:d>
                    <m:r>
                      <m:rPr/>
                      <w:rPr>
                        <w:rFonts w:ascii="Cambria Math" w:hAnsi="Cambria Math"/>
                      </w:rPr>
                      <m:t>,</m:t>
                    </m:r>
                    <m:sSub>
                      <m:sSubPr>
                        <m:ctrlPr>
                          <w:rPr>
                            <w:rFonts w:ascii="Cambria Math" w:hAnsi="Cambria Math"/>
                          </w:rPr>
                        </m:ctrlPr>
                      </m:sSubPr>
                      <m:e>
                        <m:r>
                          <m:rPr/>
                          <w:rPr>
                            <w:rFonts w:ascii="Cambria Math" w:hAnsi="Cambria Math"/>
                          </w:rPr>
                          <m:t xml:space="preserve">       R</m:t>
                        </m:r>
                        <m:ctrlPr>
                          <w:rPr>
                            <w:rFonts w:ascii="Cambria Math" w:hAnsi="Cambria Math"/>
                          </w:rPr>
                        </m:ctrlPr>
                      </m:e>
                      <m:sub>
                        <m:r>
                          <m:rPr/>
                          <w:rPr>
                            <w:rFonts w:ascii="Cambria Math" w:hAnsi="Cambria Math"/>
                          </w:rPr>
                          <m:t>3</m:t>
                        </m:r>
                        <m:ctrlPr>
                          <w:rPr>
                            <w:rFonts w:ascii="Cambria Math" w:hAnsi="Cambria Math"/>
                          </w:rPr>
                        </m:ctrlPr>
                      </m:sub>
                    </m:sSub>
                    <m:r>
                      <m:rPr/>
                      <w:rPr>
                        <w:rFonts w:ascii="Cambria Math" w:hAnsi="Cambria Math"/>
                      </w:rPr>
                      <m:t>≤</m:t>
                    </m:r>
                    <m:ctrlPr>
                      <w:rPr>
                        <w:rFonts w:ascii="Cambria Math" w:hAnsi="Cambria Math"/>
                      </w:rPr>
                    </m:ctrlPr>
                  </m:e>
                  <m:e>
                    <m:r>
                      <m:rPr/>
                      <w:rPr>
                        <w:rFonts w:ascii="Cambria Math" w:hAnsi="Cambria Math"/>
                      </w:rPr>
                      <m:t>ROI&lt;</m:t>
                    </m:r>
                    <m:sSub>
                      <m:sSubPr>
                        <m:ctrlPr>
                          <w:rPr>
                            <w:rFonts w:ascii="Cambria Math" w:hAnsi="Cambria Math"/>
                          </w:rPr>
                        </m:ctrlPr>
                      </m:sSubPr>
                      <m:e>
                        <m:r>
                          <m:rPr/>
                          <w:rPr>
                            <w:rFonts w:ascii="Cambria Math" w:hAnsi="Cambria Math"/>
                          </w:rPr>
                          <m:t>R</m:t>
                        </m:r>
                        <m:ctrlPr>
                          <w:rPr>
                            <w:rFonts w:ascii="Cambria Math" w:hAnsi="Cambria Math"/>
                          </w:rPr>
                        </m:ctrlPr>
                      </m:e>
                      <m:sub>
                        <m:r>
                          <m:rPr/>
                          <w:rPr>
                            <w:rFonts w:ascii="Cambria Math" w:hAnsi="Cambria Math"/>
                          </w:rPr>
                          <m:t>4</m:t>
                        </m:r>
                        <m:ctrlPr>
                          <w:rPr>
                            <w:rFonts w:ascii="Cambria Math" w:hAnsi="Cambria Math"/>
                          </w:rPr>
                        </m:ctrlPr>
                      </m:sub>
                    </m:sSub>
                    <m:ctrlPr>
                      <w:rPr>
                        <w:rFonts w:ascii="Cambria Math" w:hAnsi="Cambria Math"/>
                      </w:rPr>
                    </m:ctrlPr>
                  </m:e>
                </m:mr>
                <m:mr>
                  <m:e>
                    <m:ctrlPr>
                      <w:rPr>
                        <w:rFonts w:ascii="Cambria Math" w:hAnsi="Cambria Math"/>
                      </w:rPr>
                    </m:ctrlPr>
                  </m:e>
                  <m:e>
                    <m:ctrlPr>
                      <w:rPr>
                        <w:rFonts w:ascii="Cambria Math" w:hAnsi="Cambria Math"/>
                      </w:rPr>
                    </m:ctrlPr>
                  </m:e>
                </m:mr>
                <m:mr>
                  <m:e>
                    <m:sSub>
                      <m:sSubPr>
                        <m:ctrlPr>
                          <w:rPr>
                            <w:rFonts w:ascii="Cambria Math" w:hAnsi="Cambria Math"/>
                          </w:rPr>
                        </m:ctrlPr>
                      </m:sSubPr>
                      <m:e>
                        <m:r>
                          <m:rPr/>
                          <w:rPr>
                            <w:rFonts w:ascii="Cambria Math" w:hAnsi="Cambria Math"/>
                          </w:rPr>
                          <m:t>S</m:t>
                        </m:r>
                        <m:ctrlPr>
                          <w:rPr>
                            <w:rFonts w:ascii="Cambria Math" w:hAnsi="Cambria Math"/>
                          </w:rPr>
                        </m:ctrlPr>
                      </m:e>
                      <m:sub>
                        <m:r>
                          <m:rPr/>
                          <w:rPr>
                            <w:rFonts w:ascii="Cambria Math" w:hAnsi="Cambria Math"/>
                          </w:rPr>
                          <m:t>4</m:t>
                        </m:r>
                        <m:ctrlPr>
                          <w:rPr>
                            <w:rFonts w:ascii="Cambria Math" w:hAnsi="Cambria Math"/>
                          </w:rPr>
                        </m:ctrlPr>
                      </m:sub>
                    </m:sSub>
                    <m:r>
                      <m:rPr/>
                      <w:rPr>
                        <w:rFonts w:ascii="Cambria Math" w:hAnsi="Cambria Math"/>
                      </w:rPr>
                      <m:t>,</m:t>
                    </m:r>
                    <m:sSub>
                      <m:sSubPr>
                        <m:ctrlPr>
                          <w:rPr>
                            <w:rFonts w:ascii="Cambria Math" w:hAnsi="Cambria Math"/>
                          </w:rPr>
                        </m:ctrlPr>
                      </m:sSubPr>
                      <m:e>
                        <m:r>
                          <m:rPr/>
                          <w:rPr>
                            <w:rFonts w:ascii="Cambria Math" w:hAnsi="Cambria Math"/>
                          </w:rPr>
                          <m:t xml:space="preserve">                                                      R</m:t>
                        </m:r>
                        <m:ctrlPr>
                          <w:rPr>
                            <w:rFonts w:ascii="Cambria Math" w:hAnsi="Cambria Math"/>
                          </w:rPr>
                        </m:ctrlPr>
                      </m:e>
                      <m:sub>
                        <m:r>
                          <m:rPr/>
                          <w:rPr>
                            <w:rFonts w:ascii="Cambria Math" w:hAnsi="Cambria Math"/>
                          </w:rPr>
                          <m:t>4</m:t>
                        </m:r>
                        <m:ctrlPr>
                          <w:rPr>
                            <w:rFonts w:ascii="Cambria Math" w:hAnsi="Cambria Math"/>
                          </w:rPr>
                        </m:ctrlPr>
                      </m:sub>
                    </m:sSub>
                    <m:r>
                      <m:rPr/>
                      <w:rPr>
                        <w:rFonts w:hint="eastAsia" w:ascii="Cambria Math" w:hAnsi="Cambria Math"/>
                      </w:rPr>
                      <m:t>≤</m:t>
                    </m:r>
                    <m:ctrlPr>
                      <w:rPr>
                        <w:rFonts w:ascii="Cambria Math" w:hAnsi="Cambria Math"/>
                      </w:rPr>
                    </m:ctrlPr>
                  </m:e>
                  <m:e>
                    <m:r>
                      <m:rPr/>
                      <w:rPr>
                        <w:rFonts w:ascii="Cambria Math" w:hAnsi="Cambria Math"/>
                      </w:rPr>
                      <m:t>ROI</m:t>
                    </m:r>
                    <m:ctrlPr>
                      <w:rPr>
                        <w:rFonts w:ascii="Cambria Math" w:hAnsi="Cambria Math"/>
                      </w:rPr>
                    </m:ctrlPr>
                  </m:e>
                </m:mr>
              </m:m>
              <m:ctrlPr>
                <w:rPr>
                  <w:rFonts w:ascii="Cambria Math" w:hAnsi="Cambria Math"/>
                </w:rPr>
              </m:ctrlPr>
            </m:e>
          </m:d>
        </m:oMath>
      </m:oMathPara>
    </w:p>
    <w:p w14:paraId="39D09D99">
      <w:pPr>
        <w:adjustRightInd w:val="0"/>
        <w:snapToGrid w:val="0"/>
        <w:spacing w:line="360" w:lineRule="auto"/>
        <w:ind w:right="210" w:rightChars="100" w:firstLine="420" w:firstLineChars="200"/>
        <w:jc w:val="left"/>
        <w:rPr>
          <w:rFonts w:ascii="宋体"/>
          <w:bCs/>
        </w:rPr>
      </w:pPr>
      <w:r>
        <w:rPr>
          <w:rFonts w:hint="eastAsia" w:ascii="宋体"/>
          <w:bCs/>
        </w:rPr>
        <w:t>其中：</w:t>
      </w:r>
    </w:p>
    <w:p w14:paraId="1223DFDB">
      <w:pPr>
        <w:adjustRightInd w:val="0"/>
        <w:snapToGrid w:val="0"/>
        <w:spacing w:line="360" w:lineRule="auto"/>
        <w:ind w:left="998" w:leftChars="475" w:right="210" w:rightChars="100" w:firstLine="420" w:firstLineChars="200"/>
        <w:jc w:val="left"/>
        <w:rPr>
          <w:rFonts w:ascii="宋体"/>
          <w:bCs/>
        </w:rPr>
      </w:pPr>
      <m:oMathPara>
        <m:oMathParaPr>
          <m:jc m:val="left"/>
        </m:oMathParaPr>
        <m:oMath>
          <m:sSub>
            <m:sSubPr>
              <m:ctrlPr>
                <w:rPr>
                  <w:rFonts w:ascii="Cambria Math" w:hAnsi="Cambria Math"/>
                  <w:i/>
                </w:rPr>
              </m:ctrlPr>
            </m:sSubPr>
            <m:e>
              <m:r>
                <m:rPr/>
                <w:rPr>
                  <w:rFonts w:hint="eastAsia" w:ascii="Cambria Math" w:hAnsi="Cambria Math"/>
                </w:rPr>
                <m:t>S</m:t>
              </m:r>
              <m:ctrlPr>
                <w:rPr>
                  <w:rFonts w:ascii="Cambria Math" w:hAnsi="Cambria Math"/>
                  <w:i/>
                </w:rPr>
              </m:ctrlPr>
            </m:e>
            <m:sub>
              <m:r>
                <m:rPr/>
                <w:rPr>
                  <w:rFonts w:hint="eastAsia" w:ascii="Cambria Math" w:hAnsi="Cambria Math"/>
                </w:rPr>
                <m:t>rv</m:t>
              </m:r>
              <m:ctrlPr>
                <w:rPr>
                  <w:rFonts w:ascii="Cambria Math" w:hAnsi="Cambria Math"/>
                  <w:i/>
                </w:rPr>
              </m:ctrlPr>
            </m:sub>
          </m:sSub>
          <m:r>
            <m:rPr/>
            <w:rPr>
              <w:rFonts w:hint="eastAsia" w:ascii="Cambria Math" w:hAnsi="Cambria Math"/>
            </w:rPr>
            <m:t>=投资回报率数值分数</m:t>
          </m:r>
        </m:oMath>
      </m:oMathPara>
    </w:p>
    <w:p w14:paraId="3BF8E30A">
      <w:pPr>
        <w:adjustRightInd w:val="0"/>
        <w:snapToGrid w:val="0"/>
        <w:spacing w:line="360" w:lineRule="auto"/>
        <w:ind w:left="998" w:leftChars="475" w:right="210" w:rightChars="100" w:firstLine="420" w:firstLineChars="200"/>
        <w:jc w:val="left"/>
        <w:rPr>
          <w:rFonts w:ascii="宋体"/>
          <w:bCs/>
        </w:rPr>
      </w:pPr>
      <m:oMathPara>
        <m:oMathParaPr>
          <m:jc m:val="left"/>
        </m:oMathParaPr>
        <m:oMath>
          <m:r>
            <m:rPr/>
            <w:rPr>
              <w:rFonts w:hint="eastAsia" w:ascii="Cambria Math" w:hAnsi="Cambria Math"/>
            </w:rPr>
            <m:t>ROI=投资回报率</m:t>
          </m:r>
        </m:oMath>
      </m:oMathPara>
    </w:p>
    <w:p w14:paraId="432B436E">
      <w:pPr>
        <w:adjustRightInd w:val="0"/>
        <w:snapToGrid w:val="0"/>
        <w:spacing w:line="360" w:lineRule="auto"/>
        <w:ind w:right="210" w:rightChars="100" w:firstLine="420" w:firstLineChars="200"/>
        <w:jc w:val="left"/>
        <w:rPr>
          <w:rFonts w:ascii="宋体"/>
          <w:bCs/>
        </w:rPr>
      </w:pPr>
      <w:r>
        <w:rPr>
          <w:rFonts w:hint="eastAsia" w:ascii="宋体"/>
          <w:bCs/>
        </w:rPr>
        <w:t>设置：</w:t>
      </w:r>
    </w:p>
    <w:tbl>
      <w:tblPr>
        <w:tblStyle w:val="16"/>
        <w:tblW w:w="4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9"/>
        <w:gridCol w:w="2169"/>
      </w:tblGrid>
      <w:tr w14:paraId="7A48B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169" w:type="dxa"/>
          </w:tcPr>
          <w:p w14:paraId="50DC0976">
            <w:pPr>
              <w:adjustRightInd w:val="0"/>
              <w:snapToGrid w:val="0"/>
              <w:spacing w:line="360" w:lineRule="auto"/>
              <w:ind w:right="210" w:rightChars="100" w:firstLine="420" w:firstLineChars="200"/>
              <w:jc w:val="left"/>
              <w:rPr>
                <w:rFonts w:ascii="宋体"/>
                <w:bCs/>
              </w:rPr>
            </w:pPr>
            <m:oMathPara>
              <m:oMath>
                <m:sSub>
                  <m:sSubPr>
                    <m:ctrlPr>
                      <w:rPr>
                        <w:rFonts w:ascii="Cambria Math" w:hAnsi="Cambria Math"/>
                        <w:i/>
                      </w:rPr>
                    </m:ctrlPr>
                  </m:sSubPr>
                  <m:e>
                    <m:r>
                      <m:rPr/>
                      <w:rPr>
                        <w:rFonts w:hint="eastAsia" w:ascii="Cambria Math" w:hAnsi="Cambria Math"/>
                      </w:rPr>
                      <m:t>S</m:t>
                    </m:r>
                    <m:ctrlPr>
                      <w:rPr>
                        <w:rFonts w:ascii="Cambria Math" w:hAnsi="Cambria Math"/>
                        <w:i/>
                      </w:rPr>
                    </m:ctrlPr>
                  </m:e>
                  <m:sub>
                    <m:r>
                      <m:rPr/>
                      <w:rPr>
                        <w:rFonts w:ascii="Cambria Math" w:hAnsi="Cambria Math"/>
                      </w:rPr>
                      <m:t>0</m:t>
                    </m:r>
                    <m:ctrlPr>
                      <w:rPr>
                        <w:rFonts w:ascii="Cambria Math" w:hAnsi="Cambria Math"/>
                        <w:i/>
                      </w:rPr>
                    </m:ctrlPr>
                  </m:sub>
                </m:sSub>
                <m:r>
                  <m:rPr/>
                  <w:rPr>
                    <w:rFonts w:hint="eastAsia" w:ascii="Cambria Math" w:hAnsi="Cambria Math"/>
                  </w:rPr>
                  <m:t>=</m:t>
                </m:r>
                <m:r>
                  <m:rPr/>
                  <w:rPr>
                    <w:rFonts w:ascii="Cambria Math" w:hAnsi="Cambria Math"/>
                  </w:rPr>
                  <m:t>20</m:t>
                </m:r>
              </m:oMath>
            </m:oMathPara>
          </w:p>
        </w:tc>
        <w:tc>
          <w:tcPr>
            <w:tcW w:w="2169" w:type="dxa"/>
            <w:noWrap/>
          </w:tcPr>
          <w:p w14:paraId="24372ECA">
            <w:pPr>
              <w:adjustRightInd w:val="0"/>
              <w:snapToGrid w:val="0"/>
              <w:spacing w:line="360" w:lineRule="auto"/>
              <w:ind w:right="210" w:rightChars="100" w:firstLine="420" w:firstLineChars="200"/>
              <w:jc w:val="left"/>
              <w:rPr>
                <w:rFonts w:ascii="宋体"/>
                <w:bCs/>
              </w:rPr>
            </w:pPr>
            <m:oMathPara>
              <m:oMath>
                <m:sSub>
                  <m:sSubPr>
                    <m:ctrlPr>
                      <w:rPr>
                        <w:rFonts w:ascii="Cambria Math" w:hAnsi="Cambria Math"/>
                        <w:i/>
                      </w:rPr>
                    </m:ctrlPr>
                  </m:sSubPr>
                  <m:e>
                    <m:r>
                      <m:rPr/>
                      <w:rPr>
                        <w:rFonts w:hint="eastAsia" w:ascii="Cambria Math" w:hAnsi="Cambria Math"/>
                      </w:rPr>
                      <m:t>R</m:t>
                    </m:r>
                    <m:ctrlPr>
                      <w:rPr>
                        <w:rFonts w:ascii="Cambria Math" w:hAnsi="Cambria Math"/>
                        <w:i/>
                      </w:rPr>
                    </m:ctrlPr>
                  </m:e>
                  <m:sub>
                    <m:r>
                      <m:rPr/>
                      <w:rPr>
                        <w:rFonts w:ascii="Cambria Math" w:hAnsi="Cambria Math"/>
                      </w:rPr>
                      <m:t>0</m:t>
                    </m:r>
                    <m:ctrlPr>
                      <w:rPr>
                        <w:rFonts w:ascii="Cambria Math" w:hAnsi="Cambria Math"/>
                        <w:i/>
                      </w:rPr>
                    </m:ctrlPr>
                  </m:sub>
                </m:sSub>
                <m:r>
                  <m:rPr/>
                  <w:rPr>
                    <w:rFonts w:hint="eastAsia" w:ascii="Cambria Math" w:hAnsi="Cambria Math"/>
                  </w:rPr>
                  <m:t>=</m:t>
                </m:r>
                <m:r>
                  <m:rPr/>
                  <w:rPr>
                    <w:rFonts w:ascii="Cambria Math" w:hAnsi="Cambria Math"/>
                  </w:rPr>
                  <m:t>0.00</m:t>
                </m:r>
                <m:r>
                  <m:rPr/>
                  <w:rPr>
                    <w:rFonts w:hint="eastAsia" w:ascii="Cambria Math" w:hAnsi="Cambria Math"/>
                  </w:rPr>
                  <m:t>%</m:t>
                </m:r>
              </m:oMath>
            </m:oMathPara>
          </w:p>
        </w:tc>
      </w:tr>
      <w:tr w14:paraId="25D09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169" w:type="dxa"/>
          </w:tcPr>
          <w:p w14:paraId="21F11A45">
            <w:pPr>
              <w:adjustRightInd w:val="0"/>
              <w:snapToGrid w:val="0"/>
              <w:spacing w:line="360" w:lineRule="auto"/>
              <w:ind w:right="210" w:rightChars="100" w:firstLine="420" w:firstLineChars="200"/>
              <w:jc w:val="left"/>
              <w:rPr>
                <w:rFonts w:ascii="宋体"/>
                <w:bCs/>
              </w:rPr>
            </w:pPr>
            <m:oMathPara>
              <m:oMath>
                <m:sSub>
                  <m:sSubPr>
                    <m:ctrlPr>
                      <w:rPr>
                        <w:rFonts w:ascii="Cambria Math" w:hAnsi="Cambria Math"/>
                        <w:i/>
                      </w:rPr>
                    </m:ctrlPr>
                  </m:sSubPr>
                  <m:e>
                    <m:r>
                      <m:rPr/>
                      <w:rPr>
                        <w:rFonts w:hint="eastAsia" w:ascii="Cambria Math" w:hAnsi="Cambria Math"/>
                      </w:rPr>
                      <m:t>S</m:t>
                    </m:r>
                    <m:ctrlPr>
                      <w:rPr>
                        <w:rFonts w:ascii="Cambria Math" w:hAnsi="Cambria Math"/>
                        <w:i/>
                      </w:rPr>
                    </m:ctrlPr>
                  </m:e>
                  <m:sub>
                    <m:r>
                      <m:rPr/>
                      <w:rPr>
                        <w:rFonts w:ascii="Cambria Math" w:hAnsi="Cambria Math"/>
                      </w:rPr>
                      <m:t>1</m:t>
                    </m:r>
                    <m:ctrlPr>
                      <w:rPr>
                        <w:rFonts w:ascii="Cambria Math" w:hAnsi="Cambria Math"/>
                        <w:i/>
                      </w:rPr>
                    </m:ctrlPr>
                  </m:sub>
                </m:sSub>
                <m:r>
                  <m:rPr/>
                  <w:rPr>
                    <w:rFonts w:hint="eastAsia" w:ascii="Cambria Math" w:hAnsi="Cambria Math"/>
                  </w:rPr>
                  <m:t>=</m:t>
                </m:r>
                <m:r>
                  <m:rPr/>
                  <w:rPr>
                    <w:rFonts w:ascii="Cambria Math" w:hAnsi="Cambria Math"/>
                  </w:rPr>
                  <m:t>50</m:t>
                </m:r>
              </m:oMath>
            </m:oMathPara>
          </w:p>
        </w:tc>
        <w:tc>
          <w:tcPr>
            <w:tcW w:w="2169" w:type="dxa"/>
            <w:noWrap/>
          </w:tcPr>
          <w:p w14:paraId="03EC1F59">
            <w:pPr>
              <w:adjustRightInd w:val="0"/>
              <w:snapToGrid w:val="0"/>
              <w:spacing w:line="360" w:lineRule="auto"/>
              <w:ind w:right="210" w:rightChars="100" w:firstLine="420" w:firstLineChars="200"/>
              <w:jc w:val="left"/>
              <w:rPr>
                <w:rFonts w:ascii="宋体"/>
                <w:bCs/>
              </w:rPr>
            </w:pPr>
            <m:oMathPara>
              <m:oMath>
                <m:sSub>
                  <m:sSubPr>
                    <m:ctrlPr>
                      <w:rPr>
                        <w:rFonts w:ascii="Cambria Math" w:hAnsi="Cambria Math"/>
                        <w:i/>
                      </w:rPr>
                    </m:ctrlPr>
                  </m:sSubPr>
                  <m:e>
                    <m:r>
                      <m:rPr/>
                      <w:rPr>
                        <w:rFonts w:hint="eastAsia" w:ascii="Cambria Math" w:hAnsi="Cambria Math"/>
                      </w:rPr>
                      <m:t>R</m:t>
                    </m:r>
                    <m:ctrlPr>
                      <w:rPr>
                        <w:rFonts w:ascii="Cambria Math" w:hAnsi="Cambria Math"/>
                        <w:i/>
                      </w:rPr>
                    </m:ctrlPr>
                  </m:e>
                  <m:sub>
                    <m:r>
                      <m:rPr/>
                      <w:rPr>
                        <w:rFonts w:ascii="Cambria Math" w:hAnsi="Cambria Math"/>
                      </w:rPr>
                      <m:t>1</m:t>
                    </m:r>
                    <m:ctrlPr>
                      <w:rPr>
                        <w:rFonts w:ascii="Cambria Math" w:hAnsi="Cambria Math"/>
                        <w:i/>
                      </w:rPr>
                    </m:ctrlPr>
                  </m:sub>
                </m:sSub>
                <m:r>
                  <m:rPr/>
                  <w:rPr>
                    <w:rFonts w:hint="eastAsia" w:ascii="Cambria Math" w:hAnsi="Cambria Math"/>
                  </w:rPr>
                  <m:t>=</m:t>
                </m:r>
                <m:r>
                  <m:rPr/>
                  <w:rPr>
                    <w:rFonts w:ascii="Cambria Math" w:hAnsi="Cambria Math"/>
                  </w:rPr>
                  <m:t>200.00</m:t>
                </m:r>
                <m:r>
                  <m:rPr/>
                  <w:rPr>
                    <w:rFonts w:hint="eastAsia" w:ascii="Cambria Math" w:hAnsi="Cambria Math"/>
                  </w:rPr>
                  <m:t>%</m:t>
                </m:r>
              </m:oMath>
            </m:oMathPara>
          </w:p>
        </w:tc>
      </w:tr>
      <w:tr w14:paraId="0342F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169" w:type="dxa"/>
          </w:tcPr>
          <w:p w14:paraId="1B68507B">
            <w:pPr>
              <w:adjustRightInd w:val="0"/>
              <w:snapToGrid w:val="0"/>
              <w:spacing w:line="360" w:lineRule="auto"/>
              <w:ind w:right="210" w:rightChars="100" w:firstLine="420" w:firstLineChars="200"/>
              <w:jc w:val="left"/>
              <w:rPr>
                <w:rFonts w:ascii="宋体"/>
                <w:bCs/>
              </w:rPr>
            </w:pPr>
            <m:oMathPara>
              <m:oMath>
                <m:sSub>
                  <m:sSubPr>
                    <m:ctrlPr>
                      <w:rPr>
                        <w:rFonts w:ascii="Cambria Math" w:hAnsi="Cambria Math"/>
                        <w:i/>
                      </w:rPr>
                    </m:ctrlPr>
                  </m:sSubPr>
                  <m:e>
                    <m:r>
                      <m:rPr/>
                      <w:rPr>
                        <w:rFonts w:hint="eastAsia" w:ascii="Cambria Math" w:hAnsi="Cambria Math"/>
                      </w:rPr>
                      <m:t>S</m:t>
                    </m:r>
                    <m:ctrlPr>
                      <w:rPr>
                        <w:rFonts w:ascii="Cambria Math" w:hAnsi="Cambria Math"/>
                        <w:i/>
                      </w:rPr>
                    </m:ctrlPr>
                  </m:e>
                  <m:sub>
                    <m:r>
                      <m:rPr/>
                      <w:rPr>
                        <w:rFonts w:ascii="Cambria Math" w:hAnsi="Cambria Math"/>
                      </w:rPr>
                      <m:t>2</m:t>
                    </m:r>
                    <m:ctrlPr>
                      <w:rPr>
                        <w:rFonts w:ascii="Cambria Math" w:hAnsi="Cambria Math"/>
                        <w:i/>
                      </w:rPr>
                    </m:ctrlPr>
                  </m:sub>
                </m:sSub>
                <m:r>
                  <m:rPr/>
                  <w:rPr>
                    <w:rFonts w:hint="eastAsia" w:ascii="Cambria Math" w:hAnsi="Cambria Math"/>
                  </w:rPr>
                  <m:t>=</m:t>
                </m:r>
                <m:r>
                  <m:rPr/>
                  <w:rPr>
                    <w:rFonts w:ascii="Cambria Math" w:hAnsi="Cambria Math"/>
                  </w:rPr>
                  <m:t>75</m:t>
                </m:r>
              </m:oMath>
            </m:oMathPara>
          </w:p>
        </w:tc>
        <w:tc>
          <w:tcPr>
            <w:tcW w:w="2169" w:type="dxa"/>
            <w:noWrap/>
          </w:tcPr>
          <w:p w14:paraId="4E1B5611">
            <w:pPr>
              <w:adjustRightInd w:val="0"/>
              <w:snapToGrid w:val="0"/>
              <w:spacing w:line="360" w:lineRule="auto"/>
              <w:ind w:right="210" w:rightChars="100" w:firstLine="420" w:firstLineChars="200"/>
              <w:jc w:val="left"/>
              <w:rPr>
                <w:rFonts w:ascii="宋体"/>
                <w:bCs/>
                <w:i/>
              </w:rPr>
            </w:pPr>
            <m:oMathPara>
              <m:oMath>
                <m:sSub>
                  <m:sSubPr>
                    <m:ctrlPr>
                      <w:rPr>
                        <w:rFonts w:ascii="Cambria Math" w:hAnsi="Cambria Math"/>
                        <w:i/>
                      </w:rPr>
                    </m:ctrlPr>
                  </m:sSubPr>
                  <m:e>
                    <m:r>
                      <m:rPr/>
                      <w:rPr>
                        <w:rFonts w:hint="eastAsia" w:ascii="Cambria Math" w:hAnsi="Cambria Math"/>
                      </w:rPr>
                      <m:t>R</m:t>
                    </m:r>
                    <m:ctrlPr>
                      <w:rPr>
                        <w:rFonts w:ascii="Cambria Math" w:hAnsi="Cambria Math"/>
                        <w:i/>
                      </w:rPr>
                    </m:ctrlPr>
                  </m:e>
                  <m:sub>
                    <m:r>
                      <m:rPr/>
                      <w:rPr>
                        <w:rFonts w:ascii="Cambria Math" w:hAnsi="Cambria Math"/>
                      </w:rPr>
                      <m:t>2</m:t>
                    </m:r>
                    <m:ctrlPr>
                      <w:rPr>
                        <w:rFonts w:ascii="Cambria Math" w:hAnsi="Cambria Math"/>
                        <w:i/>
                      </w:rPr>
                    </m:ctrlPr>
                  </m:sub>
                </m:sSub>
                <m:r>
                  <m:rPr/>
                  <w:rPr>
                    <w:rFonts w:hint="eastAsia" w:ascii="Cambria Math" w:hAnsi="Cambria Math"/>
                  </w:rPr>
                  <m:t>=</m:t>
                </m:r>
                <m:r>
                  <m:rPr/>
                  <w:rPr>
                    <w:rFonts w:ascii="Cambria Math" w:hAnsi="Cambria Math"/>
                  </w:rPr>
                  <m:t>500.00</m:t>
                </m:r>
                <m:r>
                  <m:rPr/>
                  <w:rPr>
                    <w:rFonts w:hint="eastAsia" w:ascii="Cambria Math" w:hAnsi="Cambria Math"/>
                  </w:rPr>
                  <m:t>%</m:t>
                </m:r>
              </m:oMath>
            </m:oMathPara>
          </w:p>
        </w:tc>
      </w:tr>
      <w:tr w14:paraId="4A08A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169" w:type="dxa"/>
          </w:tcPr>
          <w:p w14:paraId="3C0EB980">
            <w:pPr>
              <w:adjustRightInd w:val="0"/>
              <w:snapToGrid w:val="0"/>
              <w:spacing w:line="360" w:lineRule="auto"/>
              <w:ind w:right="210" w:rightChars="100" w:firstLine="420" w:firstLineChars="200"/>
              <w:jc w:val="left"/>
              <w:rPr>
                <w:rFonts w:ascii="宋体"/>
                <w:bCs/>
              </w:rPr>
            </w:pPr>
            <m:oMathPara>
              <m:oMath>
                <m:sSub>
                  <m:sSubPr>
                    <m:ctrlPr>
                      <w:rPr>
                        <w:rFonts w:ascii="Cambria Math" w:hAnsi="Cambria Math"/>
                        <w:i/>
                      </w:rPr>
                    </m:ctrlPr>
                  </m:sSubPr>
                  <m:e>
                    <m:r>
                      <m:rPr/>
                      <w:rPr>
                        <w:rFonts w:hint="eastAsia" w:ascii="Cambria Math" w:hAnsi="Cambria Math"/>
                      </w:rPr>
                      <m:t>S</m:t>
                    </m:r>
                    <m:ctrlPr>
                      <w:rPr>
                        <w:rFonts w:ascii="Cambria Math" w:hAnsi="Cambria Math"/>
                        <w:i/>
                      </w:rPr>
                    </m:ctrlPr>
                  </m:e>
                  <m:sub>
                    <m:r>
                      <m:rPr/>
                      <w:rPr>
                        <w:rFonts w:ascii="Cambria Math" w:hAnsi="Cambria Math"/>
                      </w:rPr>
                      <m:t>3</m:t>
                    </m:r>
                    <m:ctrlPr>
                      <w:rPr>
                        <w:rFonts w:ascii="Cambria Math" w:hAnsi="Cambria Math"/>
                        <w:i/>
                      </w:rPr>
                    </m:ctrlPr>
                  </m:sub>
                </m:sSub>
                <m:r>
                  <m:rPr/>
                  <w:rPr>
                    <w:rFonts w:hint="eastAsia" w:ascii="Cambria Math" w:hAnsi="Cambria Math"/>
                  </w:rPr>
                  <m:t>=</m:t>
                </m:r>
                <m:r>
                  <m:rPr/>
                  <w:rPr>
                    <w:rFonts w:ascii="Cambria Math" w:hAnsi="Cambria Math"/>
                  </w:rPr>
                  <m:t>95</m:t>
                </m:r>
              </m:oMath>
            </m:oMathPara>
          </w:p>
        </w:tc>
        <w:tc>
          <w:tcPr>
            <w:tcW w:w="2169" w:type="dxa"/>
            <w:noWrap/>
          </w:tcPr>
          <w:p w14:paraId="1EB95513">
            <w:pPr>
              <w:adjustRightInd w:val="0"/>
              <w:snapToGrid w:val="0"/>
              <w:spacing w:line="360" w:lineRule="auto"/>
              <w:ind w:right="210" w:rightChars="100" w:firstLine="420" w:firstLineChars="200"/>
              <w:jc w:val="left"/>
              <w:rPr>
                <w:rFonts w:ascii="宋体"/>
                <w:bCs/>
              </w:rPr>
            </w:pPr>
            <m:oMathPara>
              <m:oMath>
                <m:sSub>
                  <m:sSubPr>
                    <m:ctrlPr>
                      <w:rPr>
                        <w:rFonts w:ascii="Cambria Math" w:hAnsi="Cambria Math"/>
                        <w:i/>
                      </w:rPr>
                    </m:ctrlPr>
                  </m:sSubPr>
                  <m:e>
                    <m:r>
                      <m:rPr/>
                      <w:rPr>
                        <w:rFonts w:hint="eastAsia" w:ascii="Cambria Math" w:hAnsi="Cambria Math"/>
                      </w:rPr>
                      <m:t>R</m:t>
                    </m:r>
                    <m:ctrlPr>
                      <w:rPr>
                        <w:rFonts w:ascii="Cambria Math" w:hAnsi="Cambria Math"/>
                        <w:i/>
                      </w:rPr>
                    </m:ctrlPr>
                  </m:e>
                  <m:sub>
                    <m:r>
                      <m:rPr/>
                      <w:rPr>
                        <w:rFonts w:ascii="Cambria Math" w:hAnsi="Cambria Math"/>
                      </w:rPr>
                      <m:t>3</m:t>
                    </m:r>
                    <m:ctrlPr>
                      <w:rPr>
                        <w:rFonts w:ascii="Cambria Math" w:hAnsi="Cambria Math"/>
                        <w:i/>
                      </w:rPr>
                    </m:ctrlPr>
                  </m:sub>
                </m:sSub>
                <m:r>
                  <m:rPr/>
                  <w:rPr>
                    <w:rFonts w:hint="eastAsia" w:ascii="Cambria Math" w:hAnsi="Cambria Math"/>
                  </w:rPr>
                  <m:t>=</m:t>
                </m:r>
                <m:r>
                  <m:rPr/>
                  <w:rPr>
                    <w:rFonts w:ascii="Cambria Math" w:hAnsi="Cambria Math"/>
                  </w:rPr>
                  <m:t>1500.00</m:t>
                </m:r>
                <m:r>
                  <m:rPr/>
                  <w:rPr>
                    <w:rFonts w:hint="eastAsia" w:ascii="Cambria Math" w:hAnsi="Cambria Math"/>
                  </w:rPr>
                  <m:t>%</m:t>
                </m:r>
              </m:oMath>
            </m:oMathPara>
          </w:p>
        </w:tc>
      </w:tr>
      <w:tr w14:paraId="72474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169" w:type="dxa"/>
          </w:tcPr>
          <w:p w14:paraId="76A807C4">
            <w:pPr>
              <w:adjustRightInd w:val="0"/>
              <w:snapToGrid w:val="0"/>
              <w:spacing w:line="360" w:lineRule="auto"/>
              <w:ind w:right="210" w:rightChars="100" w:firstLine="420" w:firstLineChars="200"/>
              <w:jc w:val="left"/>
              <w:rPr>
                <w:rFonts w:ascii="宋体"/>
                <w:bCs/>
              </w:rPr>
            </w:pPr>
            <m:oMathPara>
              <m:oMath>
                <m:sSub>
                  <m:sSubPr>
                    <m:ctrlPr>
                      <w:rPr>
                        <w:rFonts w:ascii="Cambria Math" w:hAnsi="Cambria Math"/>
                        <w:i/>
                      </w:rPr>
                    </m:ctrlPr>
                  </m:sSubPr>
                  <m:e>
                    <m:r>
                      <m:rPr/>
                      <w:rPr>
                        <w:rFonts w:hint="eastAsia" w:ascii="Cambria Math" w:hAnsi="Cambria Math"/>
                      </w:rPr>
                      <m:t>S</m:t>
                    </m:r>
                    <m:ctrlPr>
                      <w:rPr>
                        <w:rFonts w:ascii="Cambria Math" w:hAnsi="Cambria Math"/>
                        <w:i/>
                      </w:rPr>
                    </m:ctrlPr>
                  </m:e>
                  <m:sub>
                    <m:r>
                      <m:rPr/>
                      <w:rPr>
                        <w:rFonts w:ascii="Cambria Math" w:hAnsi="Cambria Math"/>
                      </w:rPr>
                      <m:t>4</m:t>
                    </m:r>
                    <m:ctrlPr>
                      <w:rPr>
                        <w:rFonts w:ascii="Cambria Math" w:hAnsi="Cambria Math"/>
                        <w:i/>
                      </w:rPr>
                    </m:ctrlPr>
                  </m:sub>
                </m:sSub>
                <m:r>
                  <m:rPr/>
                  <w:rPr>
                    <w:rFonts w:hint="eastAsia" w:ascii="Cambria Math" w:hAnsi="Cambria Math"/>
                  </w:rPr>
                  <m:t>=</m:t>
                </m:r>
                <m:r>
                  <m:rPr/>
                  <w:rPr>
                    <w:rFonts w:ascii="Cambria Math" w:hAnsi="Cambria Math"/>
                  </w:rPr>
                  <m:t>100</m:t>
                </m:r>
              </m:oMath>
            </m:oMathPara>
          </w:p>
        </w:tc>
        <w:tc>
          <w:tcPr>
            <w:tcW w:w="2169" w:type="dxa"/>
            <w:noWrap/>
          </w:tcPr>
          <w:p w14:paraId="34F7652C">
            <w:pPr>
              <w:adjustRightInd w:val="0"/>
              <w:snapToGrid w:val="0"/>
              <w:spacing w:line="360" w:lineRule="auto"/>
              <w:ind w:right="210" w:rightChars="100" w:firstLine="420" w:firstLineChars="200"/>
              <w:jc w:val="left"/>
              <w:rPr>
                <w:rFonts w:ascii="宋体"/>
                <w:bCs/>
              </w:rPr>
            </w:pPr>
            <m:oMathPara>
              <m:oMath>
                <m:sSub>
                  <m:sSubPr>
                    <m:ctrlPr>
                      <w:rPr>
                        <w:rFonts w:ascii="Cambria Math" w:hAnsi="Cambria Math"/>
                        <w:i/>
                      </w:rPr>
                    </m:ctrlPr>
                  </m:sSubPr>
                  <m:e>
                    <m:r>
                      <m:rPr/>
                      <w:rPr>
                        <w:rFonts w:hint="eastAsia" w:ascii="Cambria Math" w:hAnsi="Cambria Math"/>
                      </w:rPr>
                      <m:t>R</m:t>
                    </m:r>
                    <m:ctrlPr>
                      <w:rPr>
                        <w:rFonts w:ascii="Cambria Math" w:hAnsi="Cambria Math"/>
                        <w:i/>
                      </w:rPr>
                    </m:ctrlPr>
                  </m:e>
                  <m:sub>
                    <m:r>
                      <m:rPr/>
                      <w:rPr>
                        <w:rFonts w:ascii="Cambria Math" w:hAnsi="Cambria Math"/>
                      </w:rPr>
                      <m:t>4</m:t>
                    </m:r>
                    <m:ctrlPr>
                      <w:rPr>
                        <w:rFonts w:ascii="Cambria Math" w:hAnsi="Cambria Math"/>
                        <w:i/>
                      </w:rPr>
                    </m:ctrlPr>
                  </m:sub>
                </m:sSub>
                <m:r>
                  <m:rPr/>
                  <w:rPr>
                    <w:rFonts w:hint="eastAsia" w:ascii="Cambria Math" w:hAnsi="Cambria Math"/>
                  </w:rPr>
                  <m:t>=</m:t>
                </m:r>
                <m:r>
                  <m:rPr/>
                  <w:rPr>
                    <w:rFonts w:ascii="Cambria Math" w:hAnsi="Cambria Math"/>
                  </w:rPr>
                  <m:t>3000.00</m:t>
                </m:r>
                <m:r>
                  <m:rPr/>
                  <w:rPr>
                    <w:rFonts w:hint="eastAsia" w:ascii="Cambria Math" w:hAnsi="Cambria Math"/>
                  </w:rPr>
                  <m:t>%</m:t>
                </m:r>
              </m:oMath>
            </m:oMathPara>
          </w:p>
        </w:tc>
      </w:tr>
    </w:tbl>
    <w:p w14:paraId="78B38C2E">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②投资回报率排名分数</w:t>
      </w:r>
    </w:p>
    <w:p w14:paraId="06DBEF8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将投资回报率按照从高到低的顺序进行排名（最高的排名为 1），不同排名对应不同的分数。</w:t>
      </w:r>
    </w:p>
    <w:p w14:paraId="758D1192">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投资回报率排名分数计算公式：</w:t>
      </w:r>
    </w:p>
    <w:p w14:paraId="6D6E79F6">
      <w:pPr>
        <w:adjustRightInd w:val="0"/>
        <w:snapToGrid w:val="0"/>
        <w:spacing w:line="360" w:lineRule="auto"/>
        <w:ind w:right="210" w:rightChars="100" w:firstLine="420" w:firstLineChars="200"/>
        <w:jc w:val="left"/>
        <w:rPr>
          <w:rFonts w:ascii="宋体"/>
          <w:bCs/>
        </w:rPr>
      </w:pPr>
      <m:oMathPara>
        <m:oMath>
          <m:sSub>
            <m:sSubPr>
              <m:ctrlPr>
                <w:rPr>
                  <w:rFonts w:ascii="Cambria Math" w:hAnsi="Cambria Math"/>
                  <w:i/>
                </w:rPr>
              </m:ctrlPr>
            </m:sSubPr>
            <m:e>
              <m:r>
                <m:rPr/>
                <w:rPr>
                  <w:rFonts w:hint="eastAsia" w:ascii="Cambria Math" w:hAnsi="Cambria Math"/>
                </w:rPr>
                <m:t>S</m:t>
              </m:r>
              <m:ctrlPr>
                <w:rPr>
                  <w:rFonts w:ascii="Cambria Math" w:hAnsi="Cambria Math"/>
                  <w:i/>
                </w:rPr>
              </m:ctrlPr>
            </m:e>
            <m:sub>
              <m:r>
                <m:rPr/>
                <w:rPr>
                  <w:rFonts w:hint="eastAsia" w:ascii="Cambria Math" w:hAnsi="Cambria Math"/>
                </w:rPr>
                <m:t>rr</m:t>
              </m:r>
              <m:ctrlPr>
                <w:rPr>
                  <w:rFonts w:ascii="Cambria Math" w:hAnsi="Cambria Math"/>
                  <w:i/>
                </w:rPr>
              </m:ctrlPr>
            </m:sub>
          </m:sSub>
          <m:r>
            <m:rPr/>
            <w:rPr>
              <w:rFonts w:hint="eastAsia" w:ascii="Cambria Math" w:hAnsi="Cambria Math"/>
            </w:rPr>
            <m:t>=</m:t>
          </m:r>
          <m:sSubSup>
            <m:sSubSupPr>
              <m:ctrlPr>
                <w:rPr>
                  <w:rFonts w:ascii="Cambria Math" w:hAnsi="Cambria Math"/>
                  <w:i/>
                </w:rPr>
              </m:ctrlPr>
            </m:sSubSupPr>
            <m:e>
              <m:r>
                <m:rPr/>
                <w:rPr>
                  <w:rFonts w:hint="eastAsia" w:ascii="Cambria Math" w:hAnsi="Cambria Math"/>
                </w:rPr>
                <m:t>s</m:t>
              </m:r>
              <m:ctrlPr>
                <w:rPr>
                  <w:rFonts w:ascii="Cambria Math" w:hAnsi="Cambria Math"/>
                  <w:i/>
                </w:rPr>
              </m:ctrlPr>
            </m:e>
            <m:sub>
              <m:r>
                <m:rPr/>
                <w:rPr>
                  <w:rFonts w:hint="eastAsia" w:ascii="Cambria Math" w:hAnsi="Cambria Math"/>
                </w:rPr>
                <m:t>rr</m:t>
              </m:r>
              <m:ctrlPr>
                <w:rPr>
                  <w:rFonts w:ascii="Cambria Math" w:hAnsi="Cambria Math"/>
                  <w:i/>
                </w:rPr>
              </m:ctrlPr>
            </m:sub>
            <m:sup>
              <m:r>
                <m:rPr/>
                <w:rPr>
                  <w:rFonts w:hint="eastAsia" w:ascii="Cambria Math" w:hAnsi="Cambria Math"/>
                </w:rPr>
                <m:t>max</m:t>
              </m:r>
              <m:ctrlPr>
                <w:rPr>
                  <w:rFonts w:ascii="Cambria Math" w:hAnsi="Cambria Math"/>
                  <w:i/>
                </w:rPr>
              </m:ctrlPr>
            </m:sup>
          </m:sSubSup>
          <m:r>
            <m:rPr/>
            <w:rPr>
              <w:rFonts w:hint="eastAsia" w:ascii="Cambria Math" w:hAnsi="Cambria Math" w:eastAsia="微软雅黑" w:cs="微软雅黑"/>
            </w:rPr>
            <m:t>−</m:t>
          </m:r>
          <m:d>
            <m:dPr>
              <m:ctrlPr>
                <w:rPr>
                  <w:rFonts w:ascii="Cambria Math" w:hAnsi="Cambria Math"/>
                  <w:i/>
                </w:rPr>
              </m:ctrlPr>
            </m:dPr>
            <m:e>
              <m:r>
                <m:rPr/>
                <w:rPr>
                  <w:rFonts w:hint="eastAsia" w:ascii="Cambria Math" w:hAnsi="Cambria Math"/>
                </w:rPr>
                <m:t>N</m:t>
              </m:r>
              <m:r>
                <m:rPr/>
                <w:rPr>
                  <w:rFonts w:hint="eastAsia" w:ascii="Cambria Math" w:hAnsi="Cambria Math" w:eastAsia="微软雅黑" w:cs="微软雅黑"/>
                </w:rPr>
                <m:t>−</m:t>
              </m:r>
              <m:r>
                <m:rPr/>
                <w:rPr>
                  <w:rFonts w:ascii="Cambria Math" w:hAnsi="Cambria Math"/>
                </w:rPr>
                <m:t>1</m:t>
              </m:r>
              <m:ctrlPr>
                <w:rPr>
                  <w:rFonts w:ascii="Cambria Math" w:hAnsi="Cambria Math"/>
                  <w:i/>
                </w:rPr>
              </m:ctrlPr>
            </m:e>
          </m:d>
          <m:r>
            <m:rPr/>
            <w:rPr>
              <w:rFonts w:ascii="Cambria Math" w:hAnsi="Cambria Math"/>
            </w:rPr>
            <m:t>×</m:t>
          </m:r>
          <m:f>
            <m:fPr>
              <m:ctrlPr>
                <w:rPr>
                  <w:rFonts w:ascii="Cambria Math" w:hAnsi="Cambria Math"/>
                  <w:i/>
                </w:rPr>
              </m:ctrlPr>
            </m:fPr>
            <m:num>
              <m:sSubSup>
                <m:sSubSupPr>
                  <m:ctrlPr>
                    <w:rPr>
                      <w:rFonts w:ascii="Cambria Math" w:hAnsi="Cambria Math"/>
                      <w:i/>
                    </w:rPr>
                  </m:ctrlPr>
                </m:sSubSupPr>
                <m:e>
                  <m:r>
                    <m:rPr/>
                    <w:rPr>
                      <w:rFonts w:hint="eastAsia" w:ascii="Cambria Math" w:hAnsi="Cambria Math"/>
                    </w:rPr>
                    <m:t>s</m:t>
                  </m:r>
                  <m:ctrlPr>
                    <w:rPr>
                      <w:rFonts w:ascii="Cambria Math" w:hAnsi="Cambria Math"/>
                      <w:i/>
                    </w:rPr>
                  </m:ctrlPr>
                </m:e>
                <m:sub>
                  <m:r>
                    <m:rPr/>
                    <w:rPr>
                      <w:rFonts w:hint="eastAsia" w:ascii="Cambria Math" w:hAnsi="Cambria Math"/>
                    </w:rPr>
                    <m:t>rr</m:t>
                  </m:r>
                  <m:ctrlPr>
                    <w:rPr>
                      <w:rFonts w:ascii="Cambria Math" w:hAnsi="Cambria Math"/>
                      <w:i/>
                    </w:rPr>
                  </m:ctrlPr>
                </m:sub>
                <m:sup>
                  <m:r>
                    <m:rPr/>
                    <w:rPr>
                      <w:rFonts w:hint="eastAsia" w:ascii="Cambria Math" w:hAnsi="Cambria Math"/>
                    </w:rPr>
                    <m:t>max</m:t>
                  </m:r>
                  <m:ctrlPr>
                    <w:rPr>
                      <w:rFonts w:ascii="Cambria Math" w:hAnsi="Cambria Math"/>
                      <w:i/>
                    </w:rPr>
                  </m:ctrlPr>
                </m:sup>
              </m:sSubSup>
              <m:r>
                <m:rPr/>
                <w:rPr>
                  <w:rFonts w:hint="eastAsia" w:ascii="Cambria Math" w:hAnsi="Cambria Math" w:eastAsia="微软雅黑" w:cs="微软雅黑"/>
                </w:rPr>
                <m:t>−</m:t>
              </m:r>
              <m:sSubSup>
                <m:sSubSupPr>
                  <m:ctrlPr>
                    <w:rPr>
                      <w:rFonts w:ascii="Cambria Math" w:hAnsi="Cambria Math"/>
                      <w:i/>
                    </w:rPr>
                  </m:ctrlPr>
                </m:sSubSupPr>
                <m:e>
                  <m:r>
                    <m:rPr/>
                    <w:rPr>
                      <w:rFonts w:hint="eastAsia" w:ascii="Cambria Math" w:hAnsi="Cambria Math"/>
                    </w:rPr>
                    <m:t>s</m:t>
                  </m:r>
                  <m:ctrlPr>
                    <w:rPr>
                      <w:rFonts w:ascii="Cambria Math" w:hAnsi="Cambria Math"/>
                      <w:i/>
                    </w:rPr>
                  </m:ctrlPr>
                </m:e>
                <m:sub>
                  <m:r>
                    <m:rPr/>
                    <w:rPr>
                      <w:rFonts w:hint="eastAsia" w:ascii="Cambria Math" w:hAnsi="Cambria Math"/>
                    </w:rPr>
                    <m:t>rr</m:t>
                  </m:r>
                  <m:ctrlPr>
                    <w:rPr>
                      <w:rFonts w:ascii="Cambria Math" w:hAnsi="Cambria Math"/>
                      <w:i/>
                    </w:rPr>
                  </m:ctrlPr>
                </m:sub>
                <m:sup>
                  <m:r>
                    <m:rPr/>
                    <w:rPr>
                      <w:rFonts w:hint="eastAsia" w:ascii="Cambria Math" w:hAnsi="Cambria Math"/>
                    </w:rPr>
                    <m:t>min</m:t>
                  </m:r>
                  <m:ctrlPr>
                    <w:rPr>
                      <w:rFonts w:ascii="Cambria Math" w:hAnsi="Cambria Math"/>
                      <w:i/>
                    </w:rPr>
                  </m:ctrlPr>
                </m:sup>
              </m:sSubSup>
              <m:ctrlPr>
                <w:rPr>
                  <w:rFonts w:ascii="Cambria Math" w:hAnsi="Cambria Math"/>
                  <w:i/>
                </w:rPr>
              </m:ctrlPr>
            </m:num>
            <m:den>
              <m:r>
                <m:rPr/>
                <w:rPr>
                  <w:rFonts w:hint="eastAsia" w:ascii="Cambria Math" w:hAnsi="Cambria Math"/>
                </w:rPr>
                <m:t>C</m:t>
              </m:r>
              <m:r>
                <m:rPr/>
                <w:rPr>
                  <w:rFonts w:hint="eastAsia" w:ascii="Cambria Math" w:hAnsi="Cambria Math" w:eastAsia="微软雅黑" w:cs="微软雅黑"/>
                </w:rPr>
                <m:t>−</m:t>
              </m:r>
              <m:r>
                <m:rPr/>
                <w:rPr>
                  <w:rFonts w:ascii="Cambria Math" w:hAnsi="Cambria Math"/>
                </w:rPr>
                <m:t>1</m:t>
              </m:r>
              <m:ctrlPr>
                <w:rPr>
                  <w:rFonts w:ascii="Cambria Math" w:hAnsi="Cambria Math"/>
                  <w:i/>
                </w:rPr>
              </m:ctrlPr>
            </m:den>
          </m:f>
        </m:oMath>
      </m:oMathPara>
    </w:p>
    <w:p w14:paraId="32C8D933">
      <w:pPr>
        <w:adjustRightInd w:val="0"/>
        <w:snapToGrid w:val="0"/>
        <w:spacing w:line="360" w:lineRule="auto"/>
        <w:ind w:right="210" w:rightChars="100" w:firstLine="420" w:firstLineChars="200"/>
        <w:jc w:val="left"/>
        <w:rPr>
          <w:rFonts w:ascii="宋体"/>
          <w:bCs/>
        </w:rPr>
      </w:pPr>
      <w:r>
        <w:rPr>
          <w:rFonts w:hint="eastAsia" w:ascii="宋体"/>
          <w:bCs/>
        </w:rPr>
        <w:t>其中：</w:t>
      </w:r>
    </w:p>
    <w:p w14:paraId="2DD83B67">
      <w:pPr>
        <w:adjustRightInd w:val="0"/>
        <w:snapToGrid w:val="0"/>
        <w:spacing w:line="360" w:lineRule="auto"/>
        <w:ind w:left="998" w:leftChars="475" w:right="210" w:rightChars="100" w:firstLine="420" w:firstLineChars="200"/>
        <w:jc w:val="left"/>
        <w:rPr>
          <w:rFonts w:ascii="宋体"/>
          <w:bCs/>
        </w:rPr>
      </w:pPr>
      <m:oMathPara>
        <m:oMathParaPr>
          <m:jc m:val="left"/>
        </m:oMathParaPr>
        <m:oMath>
          <m:sSub>
            <m:sSubPr>
              <m:ctrlPr>
                <w:rPr>
                  <w:rFonts w:ascii="Cambria Math" w:hAnsi="Cambria Math"/>
                  <w:i/>
                </w:rPr>
              </m:ctrlPr>
            </m:sSubPr>
            <m:e>
              <m:r>
                <m:rPr/>
                <w:rPr>
                  <w:rFonts w:hint="eastAsia" w:ascii="Cambria Math" w:hAnsi="Cambria Math"/>
                </w:rPr>
                <m:t>S</m:t>
              </m:r>
              <m:ctrlPr>
                <w:rPr>
                  <w:rFonts w:ascii="Cambria Math" w:hAnsi="Cambria Math"/>
                  <w:i/>
                </w:rPr>
              </m:ctrlPr>
            </m:e>
            <m:sub>
              <m:r>
                <m:rPr/>
                <w:rPr>
                  <w:rFonts w:hint="eastAsia" w:ascii="Cambria Math" w:hAnsi="Cambria Math"/>
                </w:rPr>
                <m:t>rr</m:t>
              </m:r>
              <m:ctrlPr>
                <w:rPr>
                  <w:rFonts w:ascii="Cambria Math" w:hAnsi="Cambria Math"/>
                  <w:i/>
                </w:rPr>
              </m:ctrlPr>
            </m:sub>
          </m:sSub>
          <m:r>
            <m:rPr/>
            <w:rPr>
              <w:rFonts w:hint="eastAsia" w:ascii="Cambria Math" w:hAnsi="Cambria Math"/>
            </w:rPr>
            <m:t>=投资回报率排名分数</m:t>
          </m:r>
        </m:oMath>
      </m:oMathPara>
    </w:p>
    <w:p w14:paraId="558CC105">
      <w:pPr>
        <w:adjustRightInd w:val="0"/>
        <w:snapToGrid w:val="0"/>
        <w:spacing w:line="360" w:lineRule="auto"/>
        <w:ind w:left="998" w:leftChars="475" w:right="210" w:rightChars="100" w:firstLine="420" w:firstLineChars="200"/>
        <w:jc w:val="left"/>
        <w:rPr>
          <w:rFonts w:ascii="宋体"/>
          <w:bCs/>
        </w:rPr>
      </w:pPr>
      <m:oMathPara>
        <m:oMathParaPr>
          <m:jc m:val="left"/>
        </m:oMathParaPr>
        <m:oMath>
          <m:sSubSup>
            <m:sSubSupPr>
              <m:ctrlPr>
                <w:rPr>
                  <w:rFonts w:ascii="Cambria Math" w:hAnsi="Cambria Math"/>
                  <w:i/>
                </w:rPr>
              </m:ctrlPr>
            </m:sSubSupPr>
            <m:e>
              <m:r>
                <m:rPr/>
                <w:rPr>
                  <w:rFonts w:hint="eastAsia" w:ascii="Cambria Math" w:hAnsi="Cambria Math"/>
                </w:rPr>
                <m:t>s</m:t>
              </m:r>
              <m:ctrlPr>
                <w:rPr>
                  <w:rFonts w:ascii="Cambria Math" w:hAnsi="Cambria Math"/>
                  <w:i/>
                </w:rPr>
              </m:ctrlPr>
            </m:e>
            <m:sub>
              <m:r>
                <m:rPr/>
                <w:rPr>
                  <w:rFonts w:hint="eastAsia" w:ascii="Cambria Math" w:hAnsi="Cambria Math"/>
                </w:rPr>
                <m:t>rr</m:t>
              </m:r>
              <m:ctrlPr>
                <w:rPr>
                  <w:rFonts w:ascii="Cambria Math" w:hAnsi="Cambria Math"/>
                  <w:i/>
                </w:rPr>
              </m:ctrlPr>
            </m:sub>
            <m:sup>
              <m:r>
                <m:rPr/>
                <w:rPr>
                  <w:rFonts w:hint="eastAsia" w:ascii="Cambria Math" w:hAnsi="Cambria Math"/>
                </w:rPr>
                <m:t>min</m:t>
              </m:r>
              <m:ctrlPr>
                <w:rPr>
                  <w:rFonts w:ascii="Cambria Math" w:hAnsi="Cambria Math"/>
                  <w:i/>
                </w:rPr>
              </m:ctrlPr>
            </m:sup>
          </m:sSubSup>
          <m:r>
            <m:rPr/>
            <w:rPr>
              <w:rFonts w:hint="eastAsia" w:ascii="Cambria Math" w:hAnsi="Cambria Math"/>
            </w:rPr>
            <m:t>=投资回报率排名分数最小值</m:t>
          </m:r>
        </m:oMath>
      </m:oMathPara>
    </w:p>
    <w:p w14:paraId="2621A546">
      <w:pPr>
        <w:adjustRightInd w:val="0"/>
        <w:snapToGrid w:val="0"/>
        <w:spacing w:line="360" w:lineRule="auto"/>
        <w:ind w:left="998" w:leftChars="475" w:right="210" w:rightChars="100" w:firstLine="420" w:firstLineChars="200"/>
        <w:jc w:val="left"/>
        <w:rPr>
          <w:rFonts w:ascii="宋体"/>
          <w:bCs/>
        </w:rPr>
      </w:pPr>
      <m:oMathPara>
        <m:oMathParaPr>
          <m:jc m:val="left"/>
        </m:oMathParaPr>
        <m:oMath>
          <m:sSubSup>
            <m:sSubSupPr>
              <m:ctrlPr>
                <w:rPr>
                  <w:rFonts w:ascii="Cambria Math" w:hAnsi="Cambria Math"/>
                  <w:i/>
                </w:rPr>
              </m:ctrlPr>
            </m:sSubSupPr>
            <m:e>
              <m:r>
                <m:rPr/>
                <w:rPr>
                  <w:rFonts w:hint="eastAsia" w:ascii="Cambria Math" w:hAnsi="Cambria Math"/>
                </w:rPr>
                <m:t>s</m:t>
              </m:r>
              <m:ctrlPr>
                <w:rPr>
                  <w:rFonts w:ascii="Cambria Math" w:hAnsi="Cambria Math"/>
                  <w:i/>
                </w:rPr>
              </m:ctrlPr>
            </m:e>
            <m:sub>
              <m:r>
                <m:rPr/>
                <w:rPr>
                  <w:rFonts w:hint="eastAsia" w:ascii="Cambria Math" w:hAnsi="Cambria Math"/>
                </w:rPr>
                <m:t>rr</m:t>
              </m:r>
              <m:ctrlPr>
                <w:rPr>
                  <w:rFonts w:ascii="Cambria Math" w:hAnsi="Cambria Math"/>
                  <w:i/>
                </w:rPr>
              </m:ctrlPr>
            </m:sub>
            <m:sup>
              <m:r>
                <m:rPr/>
                <w:rPr>
                  <w:rFonts w:hint="eastAsia" w:ascii="Cambria Math" w:hAnsi="Cambria Math"/>
                </w:rPr>
                <m:t>max</m:t>
              </m:r>
              <m:ctrlPr>
                <w:rPr>
                  <w:rFonts w:ascii="Cambria Math" w:hAnsi="Cambria Math"/>
                  <w:i/>
                </w:rPr>
              </m:ctrlPr>
            </m:sup>
          </m:sSubSup>
          <m:r>
            <m:rPr/>
            <w:rPr>
              <w:rFonts w:hint="eastAsia" w:ascii="Cambria Math" w:hAnsi="Cambria Math"/>
            </w:rPr>
            <m:t>=投资回报率排名分数最大值</m:t>
          </m:r>
        </m:oMath>
      </m:oMathPara>
    </w:p>
    <w:p w14:paraId="7A787110">
      <w:pPr>
        <w:adjustRightInd w:val="0"/>
        <w:snapToGrid w:val="0"/>
        <w:spacing w:line="360" w:lineRule="auto"/>
        <w:ind w:left="998" w:leftChars="475" w:right="210" w:rightChars="100" w:firstLine="420" w:firstLineChars="200"/>
        <w:jc w:val="left"/>
        <w:rPr>
          <w:rFonts w:ascii="宋体"/>
          <w:bCs/>
        </w:rPr>
      </w:pPr>
      <m:oMathPara>
        <m:oMathParaPr>
          <m:jc m:val="left"/>
        </m:oMathParaPr>
        <m:oMath>
          <m:r>
            <m:rPr/>
            <w:rPr>
              <w:rFonts w:hint="eastAsia" w:ascii="Cambria Math" w:hAnsi="Cambria Math"/>
            </w:rPr>
            <m:t>N=投资回报率排名</m:t>
          </m:r>
        </m:oMath>
      </m:oMathPara>
    </w:p>
    <w:p w14:paraId="723BE16C">
      <w:pPr>
        <w:adjustRightInd w:val="0"/>
        <w:snapToGrid w:val="0"/>
        <w:spacing w:line="360" w:lineRule="auto"/>
        <w:ind w:left="998" w:leftChars="475" w:right="210" w:rightChars="100" w:firstLine="420" w:firstLineChars="200"/>
        <w:jc w:val="left"/>
        <w:rPr>
          <w:rFonts w:ascii="宋体"/>
          <w:bCs/>
        </w:rPr>
      </w:pPr>
      <m:oMathPara>
        <m:oMathParaPr>
          <m:jc m:val="left"/>
        </m:oMathParaPr>
        <m:oMath>
          <m:r>
            <m:rPr/>
            <w:rPr>
              <w:rFonts w:hint="eastAsia" w:ascii="Cambria Math" w:hAnsi="Cambria Math"/>
            </w:rPr>
            <m:t>C=团队总数量</m:t>
          </m:r>
        </m:oMath>
      </m:oMathPara>
    </w:p>
    <w:p w14:paraId="5955DFE9">
      <w:pPr>
        <w:adjustRightInd w:val="0"/>
        <w:snapToGrid w:val="0"/>
        <w:spacing w:line="360" w:lineRule="auto"/>
        <w:ind w:right="210" w:rightChars="100" w:firstLine="420" w:firstLineChars="200"/>
        <w:jc w:val="left"/>
        <w:rPr>
          <w:rFonts w:ascii="宋体"/>
          <w:bCs/>
        </w:rPr>
      </w:pPr>
      <w:r>
        <w:rPr>
          <w:rFonts w:hint="eastAsia" w:ascii="宋体"/>
          <w:bCs/>
        </w:rPr>
        <w:t>设置：</w:t>
      </w:r>
    </w:p>
    <w:p w14:paraId="47F679FB">
      <w:pPr>
        <w:adjustRightInd w:val="0"/>
        <w:snapToGrid w:val="0"/>
        <w:spacing w:line="360" w:lineRule="auto"/>
        <w:ind w:left="998" w:leftChars="475" w:right="210" w:rightChars="100" w:firstLine="420" w:firstLineChars="200"/>
        <w:jc w:val="left"/>
        <w:rPr>
          <w:rFonts w:ascii="宋体"/>
          <w:bCs/>
        </w:rPr>
      </w:pPr>
      <m:oMathPara>
        <m:oMathParaPr>
          <m:jc m:val="left"/>
        </m:oMathParaPr>
        <m:oMath>
          <m:sSubSup>
            <m:sSubSupPr>
              <m:ctrlPr>
                <w:rPr>
                  <w:rFonts w:ascii="Cambria Math" w:hAnsi="Cambria Math"/>
                  <w:i/>
                </w:rPr>
              </m:ctrlPr>
            </m:sSubSupPr>
            <m:e>
              <m:r>
                <m:rPr/>
                <w:rPr>
                  <w:rFonts w:hint="eastAsia" w:ascii="Cambria Math" w:hAnsi="Cambria Math"/>
                </w:rPr>
                <m:t>s</m:t>
              </m:r>
              <m:ctrlPr>
                <w:rPr>
                  <w:rFonts w:ascii="Cambria Math" w:hAnsi="Cambria Math"/>
                  <w:i/>
                </w:rPr>
              </m:ctrlPr>
            </m:e>
            <m:sub>
              <m:r>
                <m:rPr/>
                <w:rPr>
                  <w:rFonts w:hint="eastAsia" w:ascii="Cambria Math" w:hAnsi="Cambria Math"/>
                </w:rPr>
                <m:t>rr</m:t>
              </m:r>
              <m:ctrlPr>
                <w:rPr>
                  <w:rFonts w:ascii="Cambria Math" w:hAnsi="Cambria Math"/>
                  <w:i/>
                </w:rPr>
              </m:ctrlPr>
            </m:sub>
            <m:sup>
              <m:r>
                <m:rPr/>
                <w:rPr>
                  <w:rFonts w:hint="eastAsia" w:ascii="Cambria Math" w:hAnsi="Cambria Math"/>
                </w:rPr>
                <m:t>min</m:t>
              </m:r>
              <m:ctrlPr>
                <w:rPr>
                  <w:rFonts w:ascii="Cambria Math" w:hAnsi="Cambria Math"/>
                  <w:i/>
                </w:rPr>
              </m:ctrlPr>
            </m:sup>
          </m:sSubSup>
          <m:r>
            <m:rPr/>
            <w:rPr>
              <w:rFonts w:hint="eastAsia" w:ascii="Cambria Math" w:hAnsi="Cambria Math"/>
            </w:rPr>
            <m:t>=</m:t>
          </m:r>
          <m:r>
            <m:rPr/>
            <w:rPr>
              <w:rFonts w:ascii="Cambria Math" w:hAnsi="Cambria Math"/>
            </w:rPr>
            <m:t>20</m:t>
          </m:r>
        </m:oMath>
      </m:oMathPara>
    </w:p>
    <w:p w14:paraId="563A003A">
      <w:pPr>
        <w:adjustRightInd w:val="0"/>
        <w:snapToGrid w:val="0"/>
        <w:spacing w:line="360" w:lineRule="auto"/>
        <w:ind w:left="998" w:leftChars="475" w:right="210" w:rightChars="100" w:firstLine="420" w:firstLineChars="200"/>
        <w:jc w:val="left"/>
      </w:pPr>
      <m:oMathPara>
        <m:oMathParaPr>
          <m:jc m:val="left"/>
        </m:oMathParaPr>
        <m:oMath>
          <m:sSubSup>
            <m:sSubSupPr>
              <m:ctrlPr>
                <w:rPr>
                  <w:rFonts w:ascii="Cambria Math" w:hAnsi="Cambria Math"/>
                  <w:i/>
                </w:rPr>
              </m:ctrlPr>
            </m:sSubSupPr>
            <m:e>
              <m:r>
                <m:rPr/>
                <w:rPr>
                  <w:rFonts w:hint="eastAsia" w:ascii="Cambria Math" w:hAnsi="Cambria Math"/>
                </w:rPr>
                <m:t>s</m:t>
              </m:r>
              <m:ctrlPr>
                <w:rPr>
                  <w:rFonts w:ascii="Cambria Math" w:hAnsi="Cambria Math"/>
                  <w:i/>
                </w:rPr>
              </m:ctrlPr>
            </m:e>
            <m:sub>
              <m:r>
                <m:rPr/>
                <w:rPr>
                  <w:rFonts w:hint="eastAsia" w:ascii="Cambria Math" w:hAnsi="Cambria Math"/>
                </w:rPr>
                <m:t>rr</m:t>
              </m:r>
              <m:ctrlPr>
                <w:rPr>
                  <w:rFonts w:ascii="Cambria Math" w:hAnsi="Cambria Math"/>
                  <w:i/>
                </w:rPr>
              </m:ctrlPr>
            </m:sub>
            <m:sup>
              <m:r>
                <m:rPr/>
                <w:rPr>
                  <w:rFonts w:hint="eastAsia" w:ascii="Cambria Math" w:hAnsi="Cambria Math"/>
                </w:rPr>
                <m:t>max</m:t>
              </m:r>
              <m:ctrlPr>
                <w:rPr>
                  <w:rFonts w:ascii="Cambria Math" w:hAnsi="Cambria Math"/>
                  <w:i/>
                </w:rPr>
              </m:ctrlPr>
            </m:sup>
          </m:sSubSup>
          <m:r>
            <m:rPr/>
            <w:rPr>
              <w:rFonts w:hint="eastAsia" w:ascii="Cambria Math" w:hAnsi="Cambria Math"/>
            </w:rPr>
            <m:t>=</m:t>
          </m:r>
          <m:r>
            <m:rPr/>
            <w:rPr>
              <w:rFonts w:ascii="Cambria Math" w:hAnsi="Cambria Math"/>
            </w:rPr>
            <m:t>100</m:t>
          </m:r>
        </m:oMath>
      </m:oMathPara>
    </w:p>
    <w:p w14:paraId="022FC31E">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（二）评分方法</w:t>
      </w:r>
    </w:p>
    <w:p w14:paraId="3595114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1.裁判员选聘：裁判长1名，现场裁判不少于2名，由赛项执委会向大赛执委会推荐，由大赛执委会聘任。</w:t>
      </w:r>
    </w:p>
    <w:p w14:paraId="2F3A1BB2">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评分方法：外贸B2B模块、外贸B2C模块竞赛均为机考评分，外贸履约模块由评分裁判评分。记分员负责在监督人员监督下完成统分工作，统分表需由记分员、监督员、裁判长共同签字确认。统分后，记分员负责在监督人员监督下完成汇总计分工作，汇总计分表。</w:t>
      </w:r>
    </w:p>
    <w:p w14:paraId="1632F8F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（1）参赛队竞赛总分计算公式</w:t>
      </w:r>
    </w:p>
    <w:p w14:paraId="687CFCC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参赛队的竞赛总分=外贸B2B模块得分×50%+外贸履约模块得分×20%+外贸B2C模块得分×30%</w:t>
      </w:r>
    </w:p>
    <w:p w14:paraId="54BE9899">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注：参赛队的竞赛总分四舍五入保留两位小数。</w:t>
      </w:r>
    </w:p>
    <w:p w14:paraId="7578938E">
      <w:pPr>
        <w:numPr>
          <w:ilvl w:val="0"/>
          <w:numId w:val="1"/>
        </w:num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参赛队各模块得分公式</w:t>
      </w:r>
    </w:p>
    <w:p w14:paraId="2844A715">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外贸B2B模块得分=参赛队2组选手得分的平均分（四舍五入保留两位小数）</w:t>
      </w:r>
    </w:p>
    <w:p w14:paraId="19D01F0B">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外贸履约模块得分=参赛队1组选手得分</w:t>
      </w:r>
    </w:p>
    <w:p w14:paraId="10FCD6F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外贸B2C模块得分=参赛队2组选手得分的平均分（四舍五入保留两位小数）</w:t>
      </w:r>
    </w:p>
    <w:p w14:paraId="4B2C45C2">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成绩复核：为保障成绩评判的准确性，监督组将对赛项总成绩排名前30%的所有参赛队伍（选手）的成绩进行复核；对其余成绩进行抽检复核，抽检覆盖率不得低于15%。如发现成绩错误以书面方式及时告知裁判长，由裁判长更正成绩并签字确认。复核、抽检错误率超过5%的，裁判组将对所有成绩进行复核。</w:t>
      </w:r>
    </w:p>
    <w:p w14:paraId="13B640A9">
      <w:pPr>
        <w:spacing w:line="600" w:lineRule="exact"/>
        <w:ind w:firstLine="640" w:firstLineChars="200"/>
      </w:pPr>
      <w:r>
        <w:rPr>
          <w:rFonts w:hint="eastAsia" w:ascii="仿宋_GB2312" w:hAnsi="仿宋_GB2312" w:eastAsia="仿宋_GB2312" w:cs="仿宋_GB2312"/>
          <w:sz w:val="32"/>
          <w:szCs w:val="32"/>
        </w:rPr>
        <w:t>4.赛项最终得分按100分制计分。赛项最终成绩复核后经裁判长、监督组签字后进行公示。公示时间为1小时。成绩公示无异议后，由监督仲裁组在成绩单上签字，并在闭赛式上公布竞赛成绩。</w:t>
      </w:r>
    </w:p>
    <w:p w14:paraId="12719F57">
      <w:pPr>
        <w:snapToGrid w:val="0"/>
        <w:spacing w:line="560" w:lineRule="exact"/>
        <w:ind w:firstLine="640" w:firstLineChars="200"/>
        <w:rPr>
          <w:rFonts w:ascii="黑体" w:hAnsi="黑体" w:eastAsia="黑体" w:cs="黑体"/>
          <w:kern w:val="0"/>
          <w:sz w:val="32"/>
          <w:szCs w:val="32"/>
        </w:rPr>
      </w:pPr>
      <w:r>
        <w:rPr>
          <w:rFonts w:hint="eastAsia" w:ascii="黑体" w:hAnsi="黑体" w:eastAsia="黑体" w:cs="黑体"/>
          <w:kern w:val="0"/>
          <w:sz w:val="32"/>
          <w:szCs w:val="32"/>
        </w:rPr>
        <w:t>十</w:t>
      </w:r>
      <w:r>
        <w:rPr>
          <w:rFonts w:ascii="黑体" w:hAnsi="黑体" w:eastAsia="黑体" w:cs="黑体"/>
          <w:kern w:val="0"/>
          <w:sz w:val="32"/>
          <w:szCs w:val="32"/>
        </w:rPr>
        <w:t>一</w:t>
      </w:r>
      <w:r>
        <w:rPr>
          <w:rFonts w:hint="eastAsia" w:ascii="黑体" w:hAnsi="黑体" w:eastAsia="黑体" w:cs="黑体"/>
          <w:kern w:val="0"/>
          <w:sz w:val="32"/>
          <w:szCs w:val="32"/>
        </w:rPr>
        <w:t>、赛场预案</w:t>
      </w:r>
    </w:p>
    <w:p w14:paraId="448654EE">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针对竞赛过程中可能出现的不可控因素，制定以下预案。</w:t>
      </w:r>
    </w:p>
    <w:p w14:paraId="28E1A496">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（一）竞赛场地电脑故障的处理办法和程序</w:t>
      </w:r>
    </w:p>
    <w:p w14:paraId="1964E0E7">
      <w:pPr>
        <w:spacing w:line="6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1.竞赛场地个别电脑出现故障</w:t>
      </w:r>
    </w:p>
    <w:p w14:paraId="51AE4A09">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参赛选手举示意裁判员，经裁判员/技术人员确认非人为因素造成故障，予以启用备用电脑（如需将原电脑中的文件转移至备用电脑上，需由裁判员/技术人员负责处理，如果文件不能恢复，视为不可抗力因素），继续完成答题，裁判员应安抚学生情绪并做好情况记录工作。</w:t>
      </w:r>
    </w:p>
    <w:p w14:paraId="1AF6A9D1">
      <w:pPr>
        <w:spacing w:line="6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2.竞赛场地电脑全部出现故障</w:t>
      </w:r>
    </w:p>
    <w:p w14:paraId="1A568A2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裁判长应立即报告赛项执委会，现场技术人员查找原因，尽快排除故障。裁判员安抚学生，维持赛场秩序。故障排除后，赛项执委会根据实际情况决定是否对延误的竞赛时间给予补时。</w:t>
      </w:r>
    </w:p>
    <w:p w14:paraId="648D32D0">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（二）其他</w:t>
      </w:r>
    </w:p>
    <w:p w14:paraId="0B91CAC8">
      <w:pPr>
        <w:spacing w:line="600" w:lineRule="exact"/>
        <w:ind w:firstLine="640" w:firstLineChars="200"/>
      </w:pPr>
      <w:r>
        <w:rPr>
          <w:rFonts w:hint="eastAsia" w:ascii="仿宋_GB2312" w:hAnsi="仿宋_GB2312" w:eastAsia="仿宋_GB2312" w:cs="仿宋_GB2312"/>
          <w:sz w:val="32"/>
          <w:szCs w:val="32"/>
        </w:rPr>
        <w:t>针对不同模块的竞赛特点，制定参赛选手须知，赛前15分钟宣读。</w:t>
      </w:r>
    </w:p>
    <w:p w14:paraId="6CE68F88">
      <w:pPr>
        <w:snapToGrid w:val="0"/>
        <w:spacing w:line="560" w:lineRule="exact"/>
        <w:ind w:left="630"/>
        <w:rPr>
          <w:rFonts w:ascii="黑体" w:hAnsi="黑体" w:eastAsia="黑体" w:cs="黑体"/>
          <w:kern w:val="0"/>
          <w:sz w:val="32"/>
          <w:szCs w:val="32"/>
        </w:rPr>
      </w:pPr>
      <w:r>
        <w:rPr>
          <w:rFonts w:hint="eastAsia" w:ascii="黑体" w:hAnsi="黑体" w:eastAsia="黑体" w:cs="黑体"/>
          <w:kern w:val="0"/>
          <w:sz w:val="32"/>
          <w:szCs w:val="32"/>
        </w:rPr>
        <w:t>十二、赛项安全</w:t>
      </w:r>
    </w:p>
    <w:p w14:paraId="53DE734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赛事安全是技能竞赛一切工作顺利开展的先决条件，是赛事筹备和运行工作必须考虑的核心问题。赛项执委会采取切实有效措施保证大赛期间参赛选手、指导教师、工作人员及观众的人身安全。</w:t>
      </w:r>
    </w:p>
    <w:p w14:paraId="7464AF8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执委会须在赛前组织专人对比赛现场安全工作提出明确要求。赛场的布置，赛场内的器材、设备，应符合国家有关安全规定。如有必要，也可进行赛场仿真模拟测试，以发现可能出现的问题。承办单位赛前须按照组委会要求排除安全隐患。</w:t>
      </w:r>
    </w:p>
    <w:p w14:paraId="7C2A014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2.赛场周围要设立警戒线，防止无关人员进入发生意外事件。</w:t>
      </w:r>
    </w:p>
    <w:p w14:paraId="6888129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3.承办单位应提供保证应急预案实施的条件，明确制度和预案，并配备急救人员与设施。</w:t>
      </w:r>
    </w:p>
    <w:p w14:paraId="5A7504FA">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4.执委会须会同承办单位制定开放赛场和体验区的人员疏导方案。赛场环境中存在人员密集的区域，须设置齐全的指示标志，增加引导人员，并开辟备用通道。</w:t>
      </w:r>
    </w:p>
    <w:p w14:paraId="54D32CC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5.大赛期间，承办单位须在赛场管理的关键岗位，增加力量，建立安全管理日志。</w:t>
      </w:r>
    </w:p>
    <w:p w14:paraId="0B69E584">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参赛选手进入赛位，赛事裁判及工作人员进入竞赛场所，严禁携带通讯、照相摄录设备，禁止携带记录用具。如确有需要，由赛场统一配置、统一管理。赛项可根据需要配置安检设备对进入赛场重要部位的人员进行安检。</w:t>
      </w:r>
    </w:p>
    <w:p w14:paraId="1F433C86">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7.各学校组织代表队时，须为参赛选手购买大赛期间的人身意外伤害保险。</w:t>
      </w:r>
    </w:p>
    <w:p w14:paraId="59B50586">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8.各学校代表队组成后，须制定相关管理制度，并对所有选手、指导教师进行安全教育。</w:t>
      </w:r>
    </w:p>
    <w:p w14:paraId="438AD602">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9.各参赛队伍须加强对参与比赛人员的安全管理，实现与赛场安全管理的对接。</w:t>
      </w:r>
    </w:p>
    <w:p w14:paraId="1249D2EB">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比赛期间发生意外事故，发现者应第一时间报告赛项执委会，同时采取措施避免事态扩大。赛项执委会应立即启动预案予以解决并上报大赛执委会。赛项出现重大安全问题可以停赛，是否停赛由赛项执委会决定。事后，赛项执委会应向大赛执委会报告详细情况。</w:t>
      </w:r>
    </w:p>
    <w:p w14:paraId="29E8C6B9">
      <w:pPr>
        <w:snapToGrid w:val="0"/>
        <w:spacing w:line="560" w:lineRule="exact"/>
        <w:ind w:firstLine="640" w:firstLineChars="200"/>
        <w:rPr>
          <w:rFonts w:ascii="黑体" w:hAnsi="黑体" w:eastAsia="黑体" w:cs="黑体"/>
          <w:kern w:val="0"/>
          <w:sz w:val="32"/>
          <w:szCs w:val="32"/>
        </w:rPr>
      </w:pPr>
      <w:r>
        <w:rPr>
          <w:rFonts w:hint="eastAsia" w:ascii="黑体" w:hAnsi="黑体" w:eastAsia="黑体" w:cs="黑体"/>
          <w:kern w:val="0"/>
          <w:sz w:val="32"/>
          <w:szCs w:val="32"/>
        </w:rPr>
        <w:t>十</w:t>
      </w:r>
      <w:r>
        <w:rPr>
          <w:rFonts w:ascii="黑体" w:hAnsi="黑体" w:eastAsia="黑体" w:cs="黑体"/>
          <w:kern w:val="0"/>
          <w:sz w:val="32"/>
          <w:szCs w:val="32"/>
        </w:rPr>
        <w:t>三</w:t>
      </w:r>
      <w:r>
        <w:rPr>
          <w:rFonts w:hint="eastAsia" w:ascii="黑体" w:hAnsi="黑体" w:eastAsia="黑体" w:cs="黑体"/>
          <w:kern w:val="0"/>
          <w:sz w:val="32"/>
          <w:szCs w:val="32"/>
        </w:rPr>
        <w:t>、竞赛须知</w:t>
      </w:r>
    </w:p>
    <w:p w14:paraId="2061B03E">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（一）参赛队须知</w:t>
      </w:r>
    </w:p>
    <w:p w14:paraId="40D8D83D">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1.参赛队名称统一使用规定的代表队名称，不接受跨校组队报名。</w:t>
      </w:r>
    </w:p>
    <w:p w14:paraId="1C018ED1">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参赛队员在报名获得审核确认后，原则上不再更换，如筹备过程中，队员因故不能参赛，须由各参赛院校于相关赛项开赛10个工作日之前向大赛执委会办公室出具书面说明，经大赛执委会办公室核实后予以更换；竞赛开始后，参赛队不得更换参赛队员，允许队员缺席比赛。</w:t>
      </w:r>
    </w:p>
    <w:p w14:paraId="21E15456">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3.参赛队按照大赛赛程安排，凭大赛组委会颁发的参赛证和有效身份证件参加比赛及相关活动。</w:t>
      </w:r>
    </w:p>
    <w:p w14:paraId="32D8C567">
      <w:pPr>
        <w:spacing w:line="600" w:lineRule="exact"/>
        <w:ind w:firstLine="640" w:firstLineChars="200"/>
      </w:pPr>
      <w:r>
        <w:rPr>
          <w:rFonts w:hint="eastAsia" w:ascii="仿宋_GB2312" w:hAnsi="仿宋_GB2312" w:eastAsia="仿宋_GB2312" w:cs="仿宋_GB2312"/>
          <w:sz w:val="32"/>
          <w:szCs w:val="32"/>
        </w:rPr>
        <w:t>4.参赛队员须购买人身意外伤害保险。</w:t>
      </w:r>
    </w:p>
    <w:p w14:paraId="032BE5F0">
      <w:pPr>
        <w:numPr>
          <w:ilvl w:val="0"/>
          <w:numId w:val="3"/>
        </w:num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参赛选手须知</w:t>
      </w:r>
    </w:p>
    <w:p w14:paraId="51041BF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1.参赛选手应按有关要求如实填报个人信息，否则取消竞赛资格。</w:t>
      </w:r>
    </w:p>
    <w:p w14:paraId="3D4719CA">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2.参赛选手凭赛项执委会统一印制的参赛证和有效身份证件参加竞赛。</w:t>
      </w:r>
    </w:p>
    <w:p w14:paraId="42CCB8E0">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3.参赛选手应认真学习领会本次竞赛相关文件，自觉遵守大赛纪律，服从指挥，听从安排，文明参赛。</w:t>
      </w:r>
    </w:p>
    <w:p w14:paraId="05829286">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4.参赛选手请勿携带与竞赛无关的电子设备、通讯设备及其他资料与用品。</w:t>
      </w:r>
    </w:p>
    <w:p w14:paraId="5418218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5.参赛选手应提前15分钟抵达赛场，凭参赛证、身份证件检录，按要求入场，不得迟到早退。</w:t>
      </w:r>
    </w:p>
    <w:p w14:paraId="7F7841AE">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6.参赛选手应按抽签结果在指定位置就座。</w:t>
      </w:r>
    </w:p>
    <w:p w14:paraId="1145694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7.参赛选手须在确认竞赛内容和现场设备等无误后开始竞赛。竞赛过程中，如有疑问，参赛选手应举手示意，项目裁判长应按照有关要求及时予以答疑。如遇设备或软件等故障，参赛选手应举手示意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项目裁判长、技术人员等应及时予以解决。确因计算机软件或硬件故障，致使操作无法继续的，经项目裁判长确认，予以启用备用计算机。如遇身体不适，参赛选手应举手示意，</w:t>
      </w:r>
      <w:r>
        <w:rPr>
          <w:rFonts w:hint="eastAsia" w:ascii="仿宋_GB2312" w:hAnsi="仿宋_GB2312" w:eastAsia="仿宋_GB2312" w:cs="仿宋_GB2312"/>
          <w:sz w:val="32"/>
          <w:szCs w:val="32"/>
          <w:lang w:val="en-US" w:eastAsia="zh-CN"/>
        </w:rPr>
        <w:t>由裁判员告知</w:t>
      </w:r>
      <w:r>
        <w:rPr>
          <w:rFonts w:hint="eastAsia" w:ascii="仿宋_GB2312" w:hAnsi="仿宋_GB2312" w:eastAsia="仿宋_GB2312" w:cs="仿宋_GB2312"/>
          <w:sz w:val="32"/>
          <w:szCs w:val="32"/>
        </w:rPr>
        <w:t>医务人员按应急预案救治。</w:t>
      </w:r>
    </w:p>
    <w:p w14:paraId="5EB298A6">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8.各参赛选手必须按规范要求操作竞赛设备。一旦出现较严重的安全事故，经裁判长批准后将立即取消其参赛资格。</w:t>
      </w:r>
    </w:p>
    <w:p w14:paraId="2B14F590">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9.竞赛时间终了，选手应全体起立，结束操作。</w:t>
      </w:r>
    </w:p>
    <w:p w14:paraId="26352186">
      <w:pPr>
        <w:spacing w:line="600" w:lineRule="exact"/>
        <w:ind w:firstLine="640" w:firstLineChars="200"/>
      </w:pPr>
      <w:r>
        <w:rPr>
          <w:rFonts w:hint="eastAsia" w:ascii="仿宋_GB2312" w:hAnsi="仿宋_GB2312" w:eastAsia="仿宋_GB2312" w:cs="仿宋_GB2312"/>
          <w:sz w:val="32"/>
          <w:szCs w:val="32"/>
        </w:rPr>
        <w:t>10.在竞赛期间，未经执委会的批准，参赛选手不得接受其他单位和个人进行的与竞赛内容相关的采访。参赛选手不得将竞赛的相关信息私自公布。</w:t>
      </w:r>
    </w:p>
    <w:p w14:paraId="12AB3B98">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（三）指导教师须知</w:t>
      </w:r>
    </w:p>
    <w:p w14:paraId="0CFC177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1.各参赛代表队要发扬良好道德风尚，听从指挥，服从裁判，不弄虚作假。如发现弄虚作假者，取消参赛资格，名次无效。</w:t>
      </w:r>
    </w:p>
    <w:p w14:paraId="449B88D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2.各代表队领队要坚决执行竞赛的各项规定，加强对参赛人员的管理，做好赛前准备工作，督促选手带好证件等竞赛相关材料。</w:t>
      </w:r>
    </w:p>
    <w:p w14:paraId="06E0E3C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3.竞赛过程中，除参加当场次竞赛的选手、裁判员、现场工作人员和经批准的人员外，领队、指导教师及其他人员一律不得进入竞赛场地。</w:t>
      </w:r>
    </w:p>
    <w:p w14:paraId="5302331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4.参赛代表队若发现竞赛过程中有失公正或有关人员违规等现象，可在比赛结束后2小时之内由领队向赛项仲裁工作组提出书面申诉。</w:t>
      </w:r>
    </w:p>
    <w:p w14:paraId="6C0FFB6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5.对申诉的仲裁结果，领队要带头服从和执行，并做好选手工作。参赛选手不得因申诉或对处理意见不服而停止竞赛，否则以弃权处理。</w:t>
      </w:r>
    </w:p>
    <w:p w14:paraId="433DF2E3">
      <w:pPr>
        <w:pStyle w:val="7"/>
        <w:ind w:firstLine="640" w:firstLineChars="200"/>
      </w:pPr>
      <w:r>
        <w:rPr>
          <w:rFonts w:hint="eastAsia" w:ascii="仿宋_GB2312" w:hAnsi="仿宋_GB2312" w:eastAsia="仿宋_GB2312" w:cs="仿宋_GB2312"/>
          <w:sz w:val="32"/>
          <w:szCs w:val="32"/>
        </w:rPr>
        <w:t>6.指导老师应及时查看有关赛项的通知和内容，认真研究和掌握本赛项竞赛的规程、技术规范和赛场要求，指导选手做好赛前的一切技术准备和竞赛准备。</w:t>
      </w:r>
    </w:p>
    <w:p w14:paraId="72E005B2">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（四）工作人员须知</w:t>
      </w:r>
    </w:p>
    <w:p w14:paraId="0EA8BE4B">
      <w:pPr>
        <w:spacing w:line="600" w:lineRule="exact"/>
        <w:ind w:firstLine="64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1.工作人员必须统一佩戴由大赛组委会签发的相应证件，着装整齐。</w:t>
      </w:r>
    </w:p>
    <w:p w14:paraId="4A1D6AA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kern w:val="2"/>
          <w:sz w:val="32"/>
          <w:szCs w:val="32"/>
          <w:lang w:val="en-US" w:eastAsia="zh-CN" w:bidi="ar-SA"/>
        </w:rPr>
        <w:t>2.工作人员不得影响参赛选手</w:t>
      </w:r>
      <w:r>
        <w:rPr>
          <w:rFonts w:hint="eastAsia" w:ascii="仿宋_GB2312" w:hAnsi="仿宋_GB2312" w:eastAsia="仿宋_GB2312" w:cs="仿宋_GB2312"/>
          <w:sz w:val="32"/>
          <w:szCs w:val="32"/>
        </w:rPr>
        <w:t>比赛，不允许有影响比赛公平的行为。</w:t>
      </w:r>
    </w:p>
    <w:p w14:paraId="6174401A">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3.服从领导，听从指挥，以高度负责的精神、严肃认真的态度做好各项工作。</w:t>
      </w:r>
    </w:p>
    <w:p w14:paraId="5647602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4.熟悉比赛规程，认真遵守各项比赛规则和工作要求。</w:t>
      </w:r>
    </w:p>
    <w:p w14:paraId="08267FA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5.坚守岗位，如有急事需要离开岗位时，应经领导同意，并做好工作衔接。</w:t>
      </w:r>
    </w:p>
    <w:p w14:paraId="2DC3EA1B">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6.严格遵守比赛纪律，如发现其他人员有违反比赛纪律的行为，应予以制止。情节严重的，应向竞赛组委会报告。</w:t>
      </w:r>
    </w:p>
    <w:p w14:paraId="5F7B15B6">
      <w:pPr>
        <w:spacing w:line="600" w:lineRule="exact"/>
        <w:ind w:firstLine="640" w:firstLineChars="200"/>
      </w:pPr>
      <w:r>
        <w:rPr>
          <w:rFonts w:hint="eastAsia" w:ascii="仿宋_GB2312" w:hAnsi="仿宋_GB2312" w:eastAsia="仿宋_GB2312" w:cs="仿宋_GB2312"/>
          <w:sz w:val="32"/>
          <w:szCs w:val="32"/>
        </w:rPr>
        <w:t>7.发扬无私奉献和团结协作的精神，提供热情、优质服务。</w:t>
      </w:r>
    </w:p>
    <w:p w14:paraId="2D265B6E">
      <w:pPr>
        <w:snapToGrid w:val="0"/>
        <w:spacing w:line="560" w:lineRule="exact"/>
        <w:ind w:firstLine="640" w:firstLineChars="200"/>
        <w:rPr>
          <w:rFonts w:hint="eastAsia" w:ascii="黑体" w:hAnsi="黑体" w:eastAsia="黑体" w:cs="黑体"/>
          <w:kern w:val="0"/>
          <w:sz w:val="32"/>
          <w:szCs w:val="32"/>
        </w:rPr>
      </w:pPr>
    </w:p>
    <w:p w14:paraId="1E9B150E">
      <w:pPr>
        <w:snapToGrid w:val="0"/>
        <w:spacing w:line="560" w:lineRule="exact"/>
        <w:ind w:firstLine="640" w:firstLineChars="200"/>
        <w:rPr>
          <w:rFonts w:ascii="黑体" w:hAnsi="黑体" w:eastAsia="黑体" w:cs="黑体"/>
          <w:kern w:val="0"/>
          <w:sz w:val="32"/>
          <w:szCs w:val="32"/>
        </w:rPr>
      </w:pPr>
      <w:r>
        <w:rPr>
          <w:rFonts w:hint="eastAsia" w:ascii="黑体" w:hAnsi="黑体" w:eastAsia="黑体" w:cs="黑体"/>
          <w:kern w:val="0"/>
          <w:sz w:val="32"/>
          <w:szCs w:val="32"/>
        </w:rPr>
        <w:t>十</w:t>
      </w:r>
      <w:r>
        <w:rPr>
          <w:rFonts w:ascii="黑体" w:hAnsi="黑体" w:eastAsia="黑体" w:cs="黑体"/>
          <w:kern w:val="0"/>
          <w:sz w:val="32"/>
          <w:szCs w:val="32"/>
        </w:rPr>
        <w:t>四</w:t>
      </w:r>
      <w:r>
        <w:rPr>
          <w:rFonts w:hint="eastAsia" w:ascii="黑体" w:hAnsi="黑体" w:eastAsia="黑体" w:cs="黑体"/>
          <w:kern w:val="0"/>
          <w:sz w:val="32"/>
          <w:szCs w:val="32"/>
        </w:rPr>
        <w:t>、申诉与仲裁</w:t>
      </w:r>
    </w:p>
    <w:p w14:paraId="2E7BE9ED">
      <w:pPr>
        <w:spacing w:line="600" w:lineRule="exact"/>
        <w:ind w:firstLine="640" w:firstLineChars="200"/>
      </w:pPr>
      <w:r>
        <w:rPr>
          <w:rFonts w:hint="eastAsia" w:ascii="仿宋_GB2312" w:hAnsi="仿宋_GB2312" w:eastAsia="仿宋_GB2312" w:cs="仿宋_GB2312"/>
          <w:sz w:val="32"/>
          <w:szCs w:val="32"/>
        </w:rPr>
        <w:t>本赛项在比赛过程中若出现有失公正或有关人员违规等现象，代表队领队可在比赛结束后2小时之内向监督仲裁组提出书面申诉。赛项监督仲裁组在接到申诉后的2小时内组织复议，并及时反馈复议结果。赛项仲裁委员会的仲裁结果为最终结果。</w:t>
      </w:r>
    </w:p>
    <w:p w14:paraId="66B4E0C0">
      <w:pPr>
        <w:numPr>
          <w:ilvl w:val="0"/>
          <w:numId w:val="4"/>
        </w:numPr>
        <w:snapToGrid w:val="0"/>
        <w:spacing w:line="560" w:lineRule="exact"/>
        <w:ind w:firstLine="640" w:firstLineChars="200"/>
        <w:rPr>
          <w:rFonts w:ascii="黑体" w:hAnsi="黑体" w:eastAsia="黑体" w:cs="黑体"/>
          <w:kern w:val="0"/>
          <w:sz w:val="32"/>
          <w:szCs w:val="32"/>
        </w:rPr>
      </w:pPr>
      <w:r>
        <w:rPr>
          <w:rFonts w:hint="eastAsia" w:ascii="黑体" w:hAnsi="黑体" w:eastAsia="黑体" w:cs="黑体"/>
          <w:kern w:val="0"/>
          <w:sz w:val="32"/>
          <w:szCs w:val="32"/>
        </w:rPr>
        <w:t>竞赛观摩</w:t>
      </w:r>
    </w:p>
    <w:p w14:paraId="44C31720">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赛场内部署录像设备，能全程实时录制赛场情况；拍摄制作优秀选手采访、优秀指导教师采访等视频资料，突出赛项的技能重点与优势特色，为宣传、仲裁、资源转化提供全面的信息资料。</w:t>
      </w:r>
    </w:p>
    <w:p w14:paraId="25E2891D">
      <w:pPr>
        <w:pStyle w:val="7"/>
      </w:pPr>
    </w:p>
    <w:sectPr>
      <w:footerReference r:id="rId3" w:type="default"/>
      <w:footerReference r:id="rId4" w:type="even"/>
      <w:pgSz w:w="11906" w:h="16838"/>
      <w:pgMar w:top="1440" w:right="1474" w:bottom="1440" w:left="1587"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3C4335D-08EF-45C9-86C3-C0B2A91CEFE1}"/>
  </w:font>
  <w:font w:name="黑体">
    <w:panose1 w:val="02010609060101010101"/>
    <w:charset w:val="86"/>
    <w:family w:val="auto"/>
    <w:pitch w:val="default"/>
    <w:sig w:usb0="800002BF" w:usb1="38CF7CFA" w:usb2="00000016" w:usb3="00000000" w:csb0="00040001" w:csb1="00000000"/>
    <w:embedRegular r:id="rId2" w:fontKey="{F79C6D14-0854-419D-9379-8023EA4EFE6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3" w:fontKey="{6FC29D49-99D2-499A-8979-D06F959C77AF}"/>
  </w:font>
  <w:font w:name="Calibri Light">
    <w:panose1 w:val="020F0302020204030204"/>
    <w:charset w:val="00"/>
    <w:family w:val="swiss"/>
    <w:pitch w:val="default"/>
    <w:sig w:usb0="E4002EFF" w:usb1="C200247B" w:usb2="00000009" w:usb3="00000000" w:csb0="200001FF" w:csb1="00000000"/>
  </w:font>
  <w:font w:name="华文新魏">
    <w:panose1 w:val="02010800040101010101"/>
    <w:charset w:val="86"/>
    <w:family w:val="auto"/>
    <w:pitch w:val="default"/>
    <w:sig w:usb0="00000001" w:usb1="080F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微软雅黑">
    <w:panose1 w:val="020B0503020204020204"/>
    <w:charset w:val="86"/>
    <w:family w:val="swiss"/>
    <w:pitch w:val="default"/>
    <w:sig w:usb0="80000287" w:usb1="2ACF3C50" w:usb2="00000016" w:usb3="00000000" w:csb0="0004001F" w:csb1="00000000"/>
    <w:embedRegular r:id="rId4" w:fontKey="{77E08BE0-D77D-495B-B1D3-D30CF84AE032}"/>
  </w:font>
  <w:font w:name="方正小标宋简体">
    <w:panose1 w:val="02010601030101010101"/>
    <w:charset w:val="86"/>
    <w:family w:val="auto"/>
    <w:pitch w:val="default"/>
    <w:sig w:usb0="00000001" w:usb1="080E0000" w:usb2="00000000" w:usb3="00000000" w:csb0="00040000" w:csb1="00000000"/>
  </w:font>
  <w:font w:name="楷体_GB2312">
    <w:altName w:val="楷体"/>
    <w:panose1 w:val="00000000000000000000"/>
    <w:charset w:val="86"/>
    <w:family w:val="auto"/>
    <w:pitch w:val="default"/>
    <w:sig w:usb0="00000000" w:usb1="00000000" w:usb2="00000000" w:usb3="00000000" w:csb0="00040000" w:csb1="00000000"/>
    <w:embedRegular r:id="rId5" w:fontKey="{2F5D07A3-8510-4B75-86A5-B373887BAE98}"/>
  </w:font>
  <w:font w:name="Arial Narrow">
    <w:panose1 w:val="020B0606020202030204"/>
    <w:charset w:val="00"/>
    <w:family w:val="swiss"/>
    <w:pitch w:val="default"/>
    <w:sig w:usb0="00000287" w:usb1="00000800" w:usb2="00000000" w:usb3="00000000" w:csb0="2000009F" w:csb1="DFD70000"/>
    <w:embedRegular r:id="rId6" w:fontKey="{D2E6E022-6839-4B92-A307-D3DA23C1BFB4}"/>
  </w:font>
  <w:font w:name="Cambria Math">
    <w:panose1 w:val="02040503050406030204"/>
    <w:charset w:val="00"/>
    <w:family w:val="roman"/>
    <w:pitch w:val="default"/>
    <w:sig w:usb0="E00006FF" w:usb1="420024FF" w:usb2="02000000" w:usb3="00000000" w:csb0="2000019F" w:csb1="00000000"/>
    <w:embedRegular r:id="rId7" w:fontKey="{A3506B9D-E0BE-4885-BB4D-E313DA8B5F88}"/>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475D6">
    <w:pPr>
      <w:pStyle w:val="9"/>
      <w:framePr w:wrap="around" w:vAnchor="text" w:hAnchor="margin" w:xAlign="center" w:y="1"/>
      <w:rPr>
        <w:rStyle w:val="19"/>
      </w:rPr>
    </w:pPr>
    <w:r>
      <w:fldChar w:fldCharType="begin"/>
    </w:r>
    <w:r>
      <w:rPr>
        <w:rStyle w:val="19"/>
      </w:rPr>
      <w:instrText xml:space="preserve">PAGE  </w:instrText>
    </w:r>
    <w:r>
      <w:fldChar w:fldCharType="separate"/>
    </w:r>
    <w:r>
      <w:rPr>
        <w:rStyle w:val="19"/>
      </w:rPr>
      <w:t>5</w:t>
    </w:r>
    <w:r>
      <w:fldChar w:fldCharType="end"/>
    </w:r>
  </w:p>
  <w:p w14:paraId="51D60A09">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A915B">
    <w:pPr>
      <w:pStyle w:val="9"/>
      <w:framePr w:wrap="around" w:vAnchor="text" w:hAnchor="margin" w:xAlign="center" w:y="1"/>
      <w:rPr>
        <w:rStyle w:val="19"/>
      </w:rPr>
    </w:pPr>
    <w:r>
      <w:fldChar w:fldCharType="begin"/>
    </w:r>
    <w:r>
      <w:rPr>
        <w:rStyle w:val="19"/>
      </w:rPr>
      <w:instrText xml:space="preserve">PAGE  </w:instrText>
    </w:r>
    <w:r>
      <w:fldChar w:fldCharType="end"/>
    </w:r>
  </w:p>
  <w:p w14:paraId="20069847">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94F284"/>
    <w:multiLevelType w:val="singleLevel"/>
    <w:tmpl w:val="FA94F284"/>
    <w:lvl w:ilvl="0" w:tentative="0">
      <w:start w:val="10"/>
      <w:numFmt w:val="chineseCounting"/>
      <w:suff w:val="nothing"/>
      <w:lvlText w:val="%1、"/>
      <w:lvlJc w:val="left"/>
      <w:pPr>
        <w:ind w:left="-10"/>
      </w:pPr>
      <w:rPr>
        <w:rFonts w:hint="eastAsia"/>
      </w:rPr>
    </w:lvl>
  </w:abstractNum>
  <w:abstractNum w:abstractNumId="1">
    <w:nsid w:val="19F4DDD4"/>
    <w:multiLevelType w:val="singleLevel"/>
    <w:tmpl w:val="19F4DDD4"/>
    <w:lvl w:ilvl="0" w:tentative="0">
      <w:start w:val="15"/>
      <w:numFmt w:val="chineseCounting"/>
      <w:suff w:val="nothing"/>
      <w:lvlText w:val="%1、"/>
      <w:lvlJc w:val="left"/>
      <w:rPr>
        <w:rFonts w:hint="eastAsia"/>
      </w:rPr>
    </w:lvl>
  </w:abstractNum>
  <w:abstractNum w:abstractNumId="2">
    <w:nsid w:val="3E0658B4"/>
    <w:multiLevelType w:val="singleLevel"/>
    <w:tmpl w:val="3E0658B4"/>
    <w:lvl w:ilvl="0" w:tentative="0">
      <w:start w:val="1"/>
      <w:numFmt w:val="decimal"/>
      <w:suff w:val="nothing"/>
      <w:lvlText w:val="（%1）"/>
      <w:lvlJc w:val="left"/>
    </w:lvl>
  </w:abstractNum>
  <w:abstractNum w:abstractNumId="3">
    <w:nsid w:val="77B2D967"/>
    <w:multiLevelType w:val="singleLevel"/>
    <w:tmpl w:val="77B2D967"/>
    <w:lvl w:ilvl="0" w:tentative="0">
      <w:start w:val="2"/>
      <w:numFmt w:val="chineseCounting"/>
      <w:suff w:val="nothing"/>
      <w:lvlText w:val="（%1）"/>
      <w:lvlJc w:val="left"/>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doNotShadeFormData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2Y2Q5ZjY4OTNhNDkyNjZkMGUzYTIxYTExY2YyYmIifQ=="/>
  </w:docVars>
  <w:rsids>
    <w:rsidRoot w:val="00172A27"/>
    <w:rsid w:val="0000069D"/>
    <w:rsid w:val="00002BF4"/>
    <w:rsid w:val="00006C2C"/>
    <w:rsid w:val="00007550"/>
    <w:rsid w:val="00010A65"/>
    <w:rsid w:val="0001144D"/>
    <w:rsid w:val="000160DB"/>
    <w:rsid w:val="0002571D"/>
    <w:rsid w:val="00035D45"/>
    <w:rsid w:val="000412F6"/>
    <w:rsid w:val="000413B8"/>
    <w:rsid w:val="00042048"/>
    <w:rsid w:val="00042C41"/>
    <w:rsid w:val="00044AC4"/>
    <w:rsid w:val="00045B24"/>
    <w:rsid w:val="000555CF"/>
    <w:rsid w:val="00055EE5"/>
    <w:rsid w:val="00062721"/>
    <w:rsid w:val="0006296D"/>
    <w:rsid w:val="00072CA8"/>
    <w:rsid w:val="00077095"/>
    <w:rsid w:val="0007742A"/>
    <w:rsid w:val="00091617"/>
    <w:rsid w:val="00093429"/>
    <w:rsid w:val="0009555F"/>
    <w:rsid w:val="000A0277"/>
    <w:rsid w:val="000A6259"/>
    <w:rsid w:val="000B0347"/>
    <w:rsid w:val="000B1098"/>
    <w:rsid w:val="000B298D"/>
    <w:rsid w:val="000B50D5"/>
    <w:rsid w:val="000C0428"/>
    <w:rsid w:val="000C5CEF"/>
    <w:rsid w:val="000D12A7"/>
    <w:rsid w:val="000D3E1A"/>
    <w:rsid w:val="000E1E33"/>
    <w:rsid w:val="000E21CF"/>
    <w:rsid w:val="000E22F1"/>
    <w:rsid w:val="000E3F75"/>
    <w:rsid w:val="000E4B14"/>
    <w:rsid w:val="000F0D76"/>
    <w:rsid w:val="000F1F3D"/>
    <w:rsid w:val="000F301C"/>
    <w:rsid w:val="000F7BD0"/>
    <w:rsid w:val="00100CD7"/>
    <w:rsid w:val="00101976"/>
    <w:rsid w:val="001027E6"/>
    <w:rsid w:val="001111B1"/>
    <w:rsid w:val="0011245C"/>
    <w:rsid w:val="00112571"/>
    <w:rsid w:val="001138F8"/>
    <w:rsid w:val="001319A2"/>
    <w:rsid w:val="00131CFC"/>
    <w:rsid w:val="001333D2"/>
    <w:rsid w:val="00133D2A"/>
    <w:rsid w:val="00136159"/>
    <w:rsid w:val="00137A10"/>
    <w:rsid w:val="00142381"/>
    <w:rsid w:val="00150C04"/>
    <w:rsid w:val="001533F2"/>
    <w:rsid w:val="0015376C"/>
    <w:rsid w:val="00154358"/>
    <w:rsid w:val="001544EB"/>
    <w:rsid w:val="001548C1"/>
    <w:rsid w:val="00156D8D"/>
    <w:rsid w:val="001603ED"/>
    <w:rsid w:val="00160416"/>
    <w:rsid w:val="001607D8"/>
    <w:rsid w:val="00161C0A"/>
    <w:rsid w:val="0016469B"/>
    <w:rsid w:val="00165A2A"/>
    <w:rsid w:val="00165C7C"/>
    <w:rsid w:val="00165CE3"/>
    <w:rsid w:val="0017069C"/>
    <w:rsid w:val="00170C1B"/>
    <w:rsid w:val="00170DFE"/>
    <w:rsid w:val="00172A27"/>
    <w:rsid w:val="001732F8"/>
    <w:rsid w:val="00173CB1"/>
    <w:rsid w:val="00173F41"/>
    <w:rsid w:val="00181C7E"/>
    <w:rsid w:val="001829D5"/>
    <w:rsid w:val="0018340C"/>
    <w:rsid w:val="00184B53"/>
    <w:rsid w:val="001857E7"/>
    <w:rsid w:val="00187FE2"/>
    <w:rsid w:val="001913A8"/>
    <w:rsid w:val="001932AB"/>
    <w:rsid w:val="001960DE"/>
    <w:rsid w:val="001961E5"/>
    <w:rsid w:val="001979A6"/>
    <w:rsid w:val="001A1280"/>
    <w:rsid w:val="001A56D0"/>
    <w:rsid w:val="001A5AE5"/>
    <w:rsid w:val="001A6EB0"/>
    <w:rsid w:val="001A6FCC"/>
    <w:rsid w:val="001A74E5"/>
    <w:rsid w:val="001B09F4"/>
    <w:rsid w:val="001B1240"/>
    <w:rsid w:val="001B1948"/>
    <w:rsid w:val="001B3ED2"/>
    <w:rsid w:val="001B524D"/>
    <w:rsid w:val="001B639D"/>
    <w:rsid w:val="001C3A5B"/>
    <w:rsid w:val="001C45B3"/>
    <w:rsid w:val="001D16B5"/>
    <w:rsid w:val="001D283D"/>
    <w:rsid w:val="001D7223"/>
    <w:rsid w:val="001D7E1C"/>
    <w:rsid w:val="001E0CCA"/>
    <w:rsid w:val="001E4836"/>
    <w:rsid w:val="001E6E96"/>
    <w:rsid w:val="001E78A4"/>
    <w:rsid w:val="001F074B"/>
    <w:rsid w:val="001F10C3"/>
    <w:rsid w:val="001F255B"/>
    <w:rsid w:val="001F2A60"/>
    <w:rsid w:val="001F3BFC"/>
    <w:rsid w:val="001F51F4"/>
    <w:rsid w:val="001F692E"/>
    <w:rsid w:val="001F6FBC"/>
    <w:rsid w:val="00200BC6"/>
    <w:rsid w:val="00206A1B"/>
    <w:rsid w:val="0020769F"/>
    <w:rsid w:val="00207898"/>
    <w:rsid w:val="0021125D"/>
    <w:rsid w:val="00214C72"/>
    <w:rsid w:val="00216DF3"/>
    <w:rsid w:val="0021721D"/>
    <w:rsid w:val="00223375"/>
    <w:rsid w:val="002237AE"/>
    <w:rsid w:val="0022473B"/>
    <w:rsid w:val="00227CDF"/>
    <w:rsid w:val="002309CD"/>
    <w:rsid w:val="00234108"/>
    <w:rsid w:val="00235C17"/>
    <w:rsid w:val="0024089B"/>
    <w:rsid w:val="0024227E"/>
    <w:rsid w:val="002434E6"/>
    <w:rsid w:val="00243715"/>
    <w:rsid w:val="00244E89"/>
    <w:rsid w:val="002463B5"/>
    <w:rsid w:val="002476F7"/>
    <w:rsid w:val="002538D6"/>
    <w:rsid w:val="0025506B"/>
    <w:rsid w:val="00255DAC"/>
    <w:rsid w:val="00260079"/>
    <w:rsid w:val="002703BF"/>
    <w:rsid w:val="00274BA4"/>
    <w:rsid w:val="00274BD7"/>
    <w:rsid w:val="002761F2"/>
    <w:rsid w:val="002804AE"/>
    <w:rsid w:val="00280E15"/>
    <w:rsid w:val="00284E57"/>
    <w:rsid w:val="00292C57"/>
    <w:rsid w:val="00293DCC"/>
    <w:rsid w:val="002A3C1D"/>
    <w:rsid w:val="002A68D0"/>
    <w:rsid w:val="002B069D"/>
    <w:rsid w:val="002B192B"/>
    <w:rsid w:val="002B2201"/>
    <w:rsid w:val="002B2240"/>
    <w:rsid w:val="002B30D8"/>
    <w:rsid w:val="002B4C30"/>
    <w:rsid w:val="002C449D"/>
    <w:rsid w:val="002C5D0F"/>
    <w:rsid w:val="002D0DC0"/>
    <w:rsid w:val="002D1E2E"/>
    <w:rsid w:val="002E052C"/>
    <w:rsid w:val="002E527C"/>
    <w:rsid w:val="002E6E57"/>
    <w:rsid w:val="002E7B46"/>
    <w:rsid w:val="002F0685"/>
    <w:rsid w:val="002F27C6"/>
    <w:rsid w:val="002F3F1B"/>
    <w:rsid w:val="002F4E4E"/>
    <w:rsid w:val="002F5194"/>
    <w:rsid w:val="00302A1A"/>
    <w:rsid w:val="00304374"/>
    <w:rsid w:val="003049F2"/>
    <w:rsid w:val="00306005"/>
    <w:rsid w:val="00313EAC"/>
    <w:rsid w:val="00314B3D"/>
    <w:rsid w:val="00315F19"/>
    <w:rsid w:val="003262A3"/>
    <w:rsid w:val="00333193"/>
    <w:rsid w:val="00333369"/>
    <w:rsid w:val="00335E49"/>
    <w:rsid w:val="0033653C"/>
    <w:rsid w:val="00345A72"/>
    <w:rsid w:val="00350F7A"/>
    <w:rsid w:val="00351908"/>
    <w:rsid w:val="00357C89"/>
    <w:rsid w:val="00361EB9"/>
    <w:rsid w:val="003630D8"/>
    <w:rsid w:val="00363269"/>
    <w:rsid w:val="003755C5"/>
    <w:rsid w:val="003757FB"/>
    <w:rsid w:val="00380680"/>
    <w:rsid w:val="00382431"/>
    <w:rsid w:val="0038650D"/>
    <w:rsid w:val="00390C10"/>
    <w:rsid w:val="00394565"/>
    <w:rsid w:val="00397A33"/>
    <w:rsid w:val="003A18BA"/>
    <w:rsid w:val="003A1DFD"/>
    <w:rsid w:val="003A2851"/>
    <w:rsid w:val="003A2F6C"/>
    <w:rsid w:val="003A348C"/>
    <w:rsid w:val="003A3818"/>
    <w:rsid w:val="003A5C2E"/>
    <w:rsid w:val="003A5DF5"/>
    <w:rsid w:val="003A644E"/>
    <w:rsid w:val="003A6F33"/>
    <w:rsid w:val="003A7CBE"/>
    <w:rsid w:val="003B14CE"/>
    <w:rsid w:val="003B5BEE"/>
    <w:rsid w:val="003B6719"/>
    <w:rsid w:val="003B6C75"/>
    <w:rsid w:val="003C07BB"/>
    <w:rsid w:val="003C1D51"/>
    <w:rsid w:val="003C3F76"/>
    <w:rsid w:val="003C4943"/>
    <w:rsid w:val="003C5685"/>
    <w:rsid w:val="003C78E3"/>
    <w:rsid w:val="003D3C26"/>
    <w:rsid w:val="003D70DF"/>
    <w:rsid w:val="003E02C1"/>
    <w:rsid w:val="003E2069"/>
    <w:rsid w:val="003E28A2"/>
    <w:rsid w:val="003E32FF"/>
    <w:rsid w:val="003E3702"/>
    <w:rsid w:val="003E5E7A"/>
    <w:rsid w:val="003E7D36"/>
    <w:rsid w:val="003F0F29"/>
    <w:rsid w:val="003F29DA"/>
    <w:rsid w:val="003F3508"/>
    <w:rsid w:val="003F551B"/>
    <w:rsid w:val="003F7B3B"/>
    <w:rsid w:val="00402E3B"/>
    <w:rsid w:val="00406139"/>
    <w:rsid w:val="0040735B"/>
    <w:rsid w:val="00410854"/>
    <w:rsid w:val="00411804"/>
    <w:rsid w:val="00412253"/>
    <w:rsid w:val="00412AE6"/>
    <w:rsid w:val="004160ED"/>
    <w:rsid w:val="00420D54"/>
    <w:rsid w:val="0042448E"/>
    <w:rsid w:val="00426E62"/>
    <w:rsid w:val="00426F75"/>
    <w:rsid w:val="004272AF"/>
    <w:rsid w:val="0043230E"/>
    <w:rsid w:val="004324C3"/>
    <w:rsid w:val="004425B7"/>
    <w:rsid w:val="00445262"/>
    <w:rsid w:val="004467F7"/>
    <w:rsid w:val="00447EC5"/>
    <w:rsid w:val="00455526"/>
    <w:rsid w:val="004564F2"/>
    <w:rsid w:val="0045707B"/>
    <w:rsid w:val="00460F49"/>
    <w:rsid w:val="0046352D"/>
    <w:rsid w:val="00463890"/>
    <w:rsid w:val="00465CF6"/>
    <w:rsid w:val="00471F0A"/>
    <w:rsid w:val="00472B38"/>
    <w:rsid w:val="0047333E"/>
    <w:rsid w:val="004739B1"/>
    <w:rsid w:val="00476A96"/>
    <w:rsid w:val="004927BC"/>
    <w:rsid w:val="00493399"/>
    <w:rsid w:val="0049519E"/>
    <w:rsid w:val="0049570E"/>
    <w:rsid w:val="00497056"/>
    <w:rsid w:val="0049798E"/>
    <w:rsid w:val="004A7B5E"/>
    <w:rsid w:val="004B32D2"/>
    <w:rsid w:val="004B5866"/>
    <w:rsid w:val="004B73E3"/>
    <w:rsid w:val="004B7A79"/>
    <w:rsid w:val="004C197F"/>
    <w:rsid w:val="004C258D"/>
    <w:rsid w:val="004C5BE0"/>
    <w:rsid w:val="004C66F7"/>
    <w:rsid w:val="004D38FE"/>
    <w:rsid w:val="004D7B9E"/>
    <w:rsid w:val="004E0930"/>
    <w:rsid w:val="004E3F95"/>
    <w:rsid w:val="004F09D3"/>
    <w:rsid w:val="004F120B"/>
    <w:rsid w:val="004F46B8"/>
    <w:rsid w:val="004F657B"/>
    <w:rsid w:val="004F6B07"/>
    <w:rsid w:val="004F7E11"/>
    <w:rsid w:val="005002E8"/>
    <w:rsid w:val="005004F4"/>
    <w:rsid w:val="00501256"/>
    <w:rsid w:val="00502281"/>
    <w:rsid w:val="00502990"/>
    <w:rsid w:val="00503CEE"/>
    <w:rsid w:val="005050F6"/>
    <w:rsid w:val="005108C2"/>
    <w:rsid w:val="00512D38"/>
    <w:rsid w:val="00514597"/>
    <w:rsid w:val="00515B4D"/>
    <w:rsid w:val="00516447"/>
    <w:rsid w:val="00521878"/>
    <w:rsid w:val="00521F9C"/>
    <w:rsid w:val="00522D40"/>
    <w:rsid w:val="00524238"/>
    <w:rsid w:val="00525297"/>
    <w:rsid w:val="00530218"/>
    <w:rsid w:val="005317D3"/>
    <w:rsid w:val="00531B23"/>
    <w:rsid w:val="00537711"/>
    <w:rsid w:val="00537ABB"/>
    <w:rsid w:val="00543328"/>
    <w:rsid w:val="0054369F"/>
    <w:rsid w:val="005512F7"/>
    <w:rsid w:val="00553E2A"/>
    <w:rsid w:val="00560146"/>
    <w:rsid w:val="00562813"/>
    <w:rsid w:val="005630F9"/>
    <w:rsid w:val="00564756"/>
    <w:rsid w:val="00564E83"/>
    <w:rsid w:val="00566407"/>
    <w:rsid w:val="00567126"/>
    <w:rsid w:val="005707A1"/>
    <w:rsid w:val="005726F7"/>
    <w:rsid w:val="00572C2E"/>
    <w:rsid w:val="00573791"/>
    <w:rsid w:val="005739C4"/>
    <w:rsid w:val="00580155"/>
    <w:rsid w:val="00586DAB"/>
    <w:rsid w:val="00587805"/>
    <w:rsid w:val="00587B43"/>
    <w:rsid w:val="005946BD"/>
    <w:rsid w:val="00594B3A"/>
    <w:rsid w:val="005A1E78"/>
    <w:rsid w:val="005A4511"/>
    <w:rsid w:val="005A5164"/>
    <w:rsid w:val="005B1532"/>
    <w:rsid w:val="005B2C55"/>
    <w:rsid w:val="005B77FF"/>
    <w:rsid w:val="005C0D4F"/>
    <w:rsid w:val="005C0F9B"/>
    <w:rsid w:val="005C3BAA"/>
    <w:rsid w:val="005D1220"/>
    <w:rsid w:val="005D40B4"/>
    <w:rsid w:val="005E01FC"/>
    <w:rsid w:val="005E12D3"/>
    <w:rsid w:val="005E7778"/>
    <w:rsid w:val="005F02CF"/>
    <w:rsid w:val="005F4F48"/>
    <w:rsid w:val="00600090"/>
    <w:rsid w:val="0060216C"/>
    <w:rsid w:val="0060245E"/>
    <w:rsid w:val="006041CC"/>
    <w:rsid w:val="006060F6"/>
    <w:rsid w:val="00607A40"/>
    <w:rsid w:val="00610D6F"/>
    <w:rsid w:val="0061213A"/>
    <w:rsid w:val="00623B24"/>
    <w:rsid w:val="00626317"/>
    <w:rsid w:val="006268C1"/>
    <w:rsid w:val="00630925"/>
    <w:rsid w:val="00632756"/>
    <w:rsid w:val="00634F26"/>
    <w:rsid w:val="0063701F"/>
    <w:rsid w:val="0064288C"/>
    <w:rsid w:val="00644559"/>
    <w:rsid w:val="00644AC8"/>
    <w:rsid w:val="00644C50"/>
    <w:rsid w:val="00656C4C"/>
    <w:rsid w:val="00661C80"/>
    <w:rsid w:val="00663410"/>
    <w:rsid w:val="00664F77"/>
    <w:rsid w:val="00665EC7"/>
    <w:rsid w:val="00667485"/>
    <w:rsid w:val="006705D1"/>
    <w:rsid w:val="00671BD1"/>
    <w:rsid w:val="006735AC"/>
    <w:rsid w:val="006767DC"/>
    <w:rsid w:val="0068031F"/>
    <w:rsid w:val="00680864"/>
    <w:rsid w:val="0068130B"/>
    <w:rsid w:val="00684E52"/>
    <w:rsid w:val="00687C7C"/>
    <w:rsid w:val="00692E08"/>
    <w:rsid w:val="00693620"/>
    <w:rsid w:val="00694E3A"/>
    <w:rsid w:val="006A32EB"/>
    <w:rsid w:val="006B1859"/>
    <w:rsid w:val="006B7E81"/>
    <w:rsid w:val="006C05B1"/>
    <w:rsid w:val="006C0AAD"/>
    <w:rsid w:val="006C1D31"/>
    <w:rsid w:val="006D1B22"/>
    <w:rsid w:val="006D3611"/>
    <w:rsid w:val="006E519F"/>
    <w:rsid w:val="006F058E"/>
    <w:rsid w:val="006F0AE3"/>
    <w:rsid w:val="00700833"/>
    <w:rsid w:val="007019C6"/>
    <w:rsid w:val="007021F4"/>
    <w:rsid w:val="00702EDD"/>
    <w:rsid w:val="00702F05"/>
    <w:rsid w:val="00704D9B"/>
    <w:rsid w:val="00705373"/>
    <w:rsid w:val="0071040D"/>
    <w:rsid w:val="0071042D"/>
    <w:rsid w:val="007108F6"/>
    <w:rsid w:val="007109C8"/>
    <w:rsid w:val="00714956"/>
    <w:rsid w:val="00714B9E"/>
    <w:rsid w:val="00715211"/>
    <w:rsid w:val="007200E5"/>
    <w:rsid w:val="00720A21"/>
    <w:rsid w:val="00721766"/>
    <w:rsid w:val="00725368"/>
    <w:rsid w:val="007268B8"/>
    <w:rsid w:val="0072774F"/>
    <w:rsid w:val="0073219A"/>
    <w:rsid w:val="007350F1"/>
    <w:rsid w:val="00735F3E"/>
    <w:rsid w:val="00741150"/>
    <w:rsid w:val="007434AC"/>
    <w:rsid w:val="0074749C"/>
    <w:rsid w:val="00750941"/>
    <w:rsid w:val="00752429"/>
    <w:rsid w:val="00761470"/>
    <w:rsid w:val="007644B8"/>
    <w:rsid w:val="00770492"/>
    <w:rsid w:val="00771890"/>
    <w:rsid w:val="00775D1D"/>
    <w:rsid w:val="007823D6"/>
    <w:rsid w:val="00783615"/>
    <w:rsid w:val="00784BC5"/>
    <w:rsid w:val="00786AD6"/>
    <w:rsid w:val="0079239D"/>
    <w:rsid w:val="00792C4F"/>
    <w:rsid w:val="00794A68"/>
    <w:rsid w:val="007A168C"/>
    <w:rsid w:val="007A39FE"/>
    <w:rsid w:val="007A76CA"/>
    <w:rsid w:val="007A7CF8"/>
    <w:rsid w:val="007B5FB4"/>
    <w:rsid w:val="007B6E65"/>
    <w:rsid w:val="007C0C89"/>
    <w:rsid w:val="007C2B42"/>
    <w:rsid w:val="007C2D8F"/>
    <w:rsid w:val="007C4227"/>
    <w:rsid w:val="007C6062"/>
    <w:rsid w:val="007C6B3A"/>
    <w:rsid w:val="007D36AD"/>
    <w:rsid w:val="007D4FE1"/>
    <w:rsid w:val="007E1FEE"/>
    <w:rsid w:val="007E515E"/>
    <w:rsid w:val="007E7D4F"/>
    <w:rsid w:val="007F2B8B"/>
    <w:rsid w:val="007F44CC"/>
    <w:rsid w:val="007F58F8"/>
    <w:rsid w:val="00800784"/>
    <w:rsid w:val="00801339"/>
    <w:rsid w:val="00801F76"/>
    <w:rsid w:val="00802C41"/>
    <w:rsid w:val="008113B4"/>
    <w:rsid w:val="00812EBB"/>
    <w:rsid w:val="00813771"/>
    <w:rsid w:val="00814397"/>
    <w:rsid w:val="008167BB"/>
    <w:rsid w:val="00823B3C"/>
    <w:rsid w:val="00825CEE"/>
    <w:rsid w:val="00826382"/>
    <w:rsid w:val="00831EC8"/>
    <w:rsid w:val="00833915"/>
    <w:rsid w:val="00834A9D"/>
    <w:rsid w:val="00840858"/>
    <w:rsid w:val="008409ED"/>
    <w:rsid w:val="00842D56"/>
    <w:rsid w:val="00851516"/>
    <w:rsid w:val="00854DFE"/>
    <w:rsid w:val="008617F5"/>
    <w:rsid w:val="008619C0"/>
    <w:rsid w:val="00863AFB"/>
    <w:rsid w:val="00864150"/>
    <w:rsid w:val="00867B0B"/>
    <w:rsid w:val="00867B1A"/>
    <w:rsid w:val="008703C9"/>
    <w:rsid w:val="0087084E"/>
    <w:rsid w:val="008716D9"/>
    <w:rsid w:val="00874C13"/>
    <w:rsid w:val="00874C30"/>
    <w:rsid w:val="00876EDE"/>
    <w:rsid w:val="0087754F"/>
    <w:rsid w:val="00885C27"/>
    <w:rsid w:val="00890C59"/>
    <w:rsid w:val="008918E1"/>
    <w:rsid w:val="0089523D"/>
    <w:rsid w:val="00895D81"/>
    <w:rsid w:val="008A0BCC"/>
    <w:rsid w:val="008A26F2"/>
    <w:rsid w:val="008A39B7"/>
    <w:rsid w:val="008A4FE2"/>
    <w:rsid w:val="008A69EE"/>
    <w:rsid w:val="008B29A5"/>
    <w:rsid w:val="008B485E"/>
    <w:rsid w:val="008B7DB8"/>
    <w:rsid w:val="008C276C"/>
    <w:rsid w:val="008C59CF"/>
    <w:rsid w:val="008C67B5"/>
    <w:rsid w:val="008C7417"/>
    <w:rsid w:val="008D3820"/>
    <w:rsid w:val="008E343B"/>
    <w:rsid w:val="008E7BEF"/>
    <w:rsid w:val="008F3FF9"/>
    <w:rsid w:val="0090035D"/>
    <w:rsid w:val="0090540B"/>
    <w:rsid w:val="00906109"/>
    <w:rsid w:val="00907DDB"/>
    <w:rsid w:val="00915C5A"/>
    <w:rsid w:val="009232CD"/>
    <w:rsid w:val="009260CA"/>
    <w:rsid w:val="00927086"/>
    <w:rsid w:val="0093110A"/>
    <w:rsid w:val="009317DC"/>
    <w:rsid w:val="0093192A"/>
    <w:rsid w:val="00931970"/>
    <w:rsid w:val="009329E9"/>
    <w:rsid w:val="009349FF"/>
    <w:rsid w:val="0093504A"/>
    <w:rsid w:val="00935AC1"/>
    <w:rsid w:val="00936EE9"/>
    <w:rsid w:val="00937C22"/>
    <w:rsid w:val="009405B9"/>
    <w:rsid w:val="0094061D"/>
    <w:rsid w:val="009437A8"/>
    <w:rsid w:val="0094400C"/>
    <w:rsid w:val="00945493"/>
    <w:rsid w:val="00947E23"/>
    <w:rsid w:val="009506C2"/>
    <w:rsid w:val="0095075F"/>
    <w:rsid w:val="0095331A"/>
    <w:rsid w:val="00954055"/>
    <w:rsid w:val="00955672"/>
    <w:rsid w:val="00955DA3"/>
    <w:rsid w:val="00957656"/>
    <w:rsid w:val="00957FEE"/>
    <w:rsid w:val="0096175C"/>
    <w:rsid w:val="0096209B"/>
    <w:rsid w:val="00963F24"/>
    <w:rsid w:val="00965BF4"/>
    <w:rsid w:val="00965DAA"/>
    <w:rsid w:val="009714EF"/>
    <w:rsid w:val="00971C9C"/>
    <w:rsid w:val="00972640"/>
    <w:rsid w:val="0097441E"/>
    <w:rsid w:val="00976901"/>
    <w:rsid w:val="0098266A"/>
    <w:rsid w:val="00982EB5"/>
    <w:rsid w:val="0098376C"/>
    <w:rsid w:val="00983A65"/>
    <w:rsid w:val="00983AC2"/>
    <w:rsid w:val="009852FA"/>
    <w:rsid w:val="00985EBE"/>
    <w:rsid w:val="00987A22"/>
    <w:rsid w:val="0099036E"/>
    <w:rsid w:val="00995D1E"/>
    <w:rsid w:val="009961AD"/>
    <w:rsid w:val="009A2F83"/>
    <w:rsid w:val="009A414C"/>
    <w:rsid w:val="009A4812"/>
    <w:rsid w:val="009A497D"/>
    <w:rsid w:val="009A4FA5"/>
    <w:rsid w:val="009A5F4D"/>
    <w:rsid w:val="009A6223"/>
    <w:rsid w:val="009B152D"/>
    <w:rsid w:val="009B1C61"/>
    <w:rsid w:val="009B2587"/>
    <w:rsid w:val="009B5E44"/>
    <w:rsid w:val="009B5EE4"/>
    <w:rsid w:val="009B7A61"/>
    <w:rsid w:val="009C0716"/>
    <w:rsid w:val="009C0F72"/>
    <w:rsid w:val="009C1470"/>
    <w:rsid w:val="009C3F58"/>
    <w:rsid w:val="009C5AAB"/>
    <w:rsid w:val="009C7A3B"/>
    <w:rsid w:val="009D38B4"/>
    <w:rsid w:val="009D4C66"/>
    <w:rsid w:val="009D604B"/>
    <w:rsid w:val="009D6131"/>
    <w:rsid w:val="009D6E1D"/>
    <w:rsid w:val="009E1477"/>
    <w:rsid w:val="009E2CC0"/>
    <w:rsid w:val="009E6DC2"/>
    <w:rsid w:val="009E6F70"/>
    <w:rsid w:val="009E7414"/>
    <w:rsid w:val="009E779E"/>
    <w:rsid w:val="009F19FF"/>
    <w:rsid w:val="009F1FDF"/>
    <w:rsid w:val="009F42CE"/>
    <w:rsid w:val="009F6399"/>
    <w:rsid w:val="00A03635"/>
    <w:rsid w:val="00A05A8E"/>
    <w:rsid w:val="00A07506"/>
    <w:rsid w:val="00A07545"/>
    <w:rsid w:val="00A11B57"/>
    <w:rsid w:val="00A17041"/>
    <w:rsid w:val="00A21A79"/>
    <w:rsid w:val="00A21B65"/>
    <w:rsid w:val="00A2325F"/>
    <w:rsid w:val="00A256C2"/>
    <w:rsid w:val="00A2758E"/>
    <w:rsid w:val="00A3506D"/>
    <w:rsid w:val="00A36BD3"/>
    <w:rsid w:val="00A37099"/>
    <w:rsid w:val="00A4156A"/>
    <w:rsid w:val="00A4774D"/>
    <w:rsid w:val="00A52A93"/>
    <w:rsid w:val="00A60E72"/>
    <w:rsid w:val="00A61A86"/>
    <w:rsid w:val="00A679A5"/>
    <w:rsid w:val="00A67CA1"/>
    <w:rsid w:val="00A71659"/>
    <w:rsid w:val="00A71833"/>
    <w:rsid w:val="00A7191A"/>
    <w:rsid w:val="00A725B3"/>
    <w:rsid w:val="00A7461A"/>
    <w:rsid w:val="00A77580"/>
    <w:rsid w:val="00A779CC"/>
    <w:rsid w:val="00A77F61"/>
    <w:rsid w:val="00A951D4"/>
    <w:rsid w:val="00AA259A"/>
    <w:rsid w:val="00AA3E6A"/>
    <w:rsid w:val="00AA6BB8"/>
    <w:rsid w:val="00AB45F1"/>
    <w:rsid w:val="00AB5520"/>
    <w:rsid w:val="00AB74B1"/>
    <w:rsid w:val="00AC0D43"/>
    <w:rsid w:val="00AC1340"/>
    <w:rsid w:val="00AC5D88"/>
    <w:rsid w:val="00AD3D0F"/>
    <w:rsid w:val="00AD753A"/>
    <w:rsid w:val="00AD77A1"/>
    <w:rsid w:val="00AD7FF6"/>
    <w:rsid w:val="00AE1243"/>
    <w:rsid w:val="00AE245F"/>
    <w:rsid w:val="00AE462D"/>
    <w:rsid w:val="00AE79D3"/>
    <w:rsid w:val="00AF2B1A"/>
    <w:rsid w:val="00AF45DB"/>
    <w:rsid w:val="00AF6907"/>
    <w:rsid w:val="00B002C1"/>
    <w:rsid w:val="00B002DD"/>
    <w:rsid w:val="00B0066C"/>
    <w:rsid w:val="00B00721"/>
    <w:rsid w:val="00B01EEF"/>
    <w:rsid w:val="00B02333"/>
    <w:rsid w:val="00B025BD"/>
    <w:rsid w:val="00B05D11"/>
    <w:rsid w:val="00B06A31"/>
    <w:rsid w:val="00B07EF2"/>
    <w:rsid w:val="00B12425"/>
    <w:rsid w:val="00B162FC"/>
    <w:rsid w:val="00B22809"/>
    <w:rsid w:val="00B306D9"/>
    <w:rsid w:val="00B3289A"/>
    <w:rsid w:val="00B3301A"/>
    <w:rsid w:val="00B35E60"/>
    <w:rsid w:val="00B36242"/>
    <w:rsid w:val="00B40D06"/>
    <w:rsid w:val="00B41634"/>
    <w:rsid w:val="00B424BE"/>
    <w:rsid w:val="00B42F5D"/>
    <w:rsid w:val="00B4458D"/>
    <w:rsid w:val="00B53E52"/>
    <w:rsid w:val="00B573DC"/>
    <w:rsid w:val="00B61012"/>
    <w:rsid w:val="00B6380F"/>
    <w:rsid w:val="00B638FF"/>
    <w:rsid w:val="00B66D60"/>
    <w:rsid w:val="00B72345"/>
    <w:rsid w:val="00B72475"/>
    <w:rsid w:val="00B729B7"/>
    <w:rsid w:val="00B75186"/>
    <w:rsid w:val="00B75EAB"/>
    <w:rsid w:val="00B76D8D"/>
    <w:rsid w:val="00B8007C"/>
    <w:rsid w:val="00B816A2"/>
    <w:rsid w:val="00B8253D"/>
    <w:rsid w:val="00B87A7D"/>
    <w:rsid w:val="00B9008C"/>
    <w:rsid w:val="00B91A66"/>
    <w:rsid w:val="00B91A8A"/>
    <w:rsid w:val="00B92632"/>
    <w:rsid w:val="00B94688"/>
    <w:rsid w:val="00B96334"/>
    <w:rsid w:val="00B97321"/>
    <w:rsid w:val="00BA16AE"/>
    <w:rsid w:val="00BA2E4D"/>
    <w:rsid w:val="00BA3EC4"/>
    <w:rsid w:val="00BA4688"/>
    <w:rsid w:val="00BA6EE7"/>
    <w:rsid w:val="00BA7EF7"/>
    <w:rsid w:val="00BB15D2"/>
    <w:rsid w:val="00BB15E4"/>
    <w:rsid w:val="00BB2ACA"/>
    <w:rsid w:val="00BB2AFA"/>
    <w:rsid w:val="00BB333C"/>
    <w:rsid w:val="00BB39A0"/>
    <w:rsid w:val="00BB3F69"/>
    <w:rsid w:val="00BB65F1"/>
    <w:rsid w:val="00BB6A08"/>
    <w:rsid w:val="00BC3DB9"/>
    <w:rsid w:val="00BC7251"/>
    <w:rsid w:val="00BD0A96"/>
    <w:rsid w:val="00BD2BEE"/>
    <w:rsid w:val="00BD48C1"/>
    <w:rsid w:val="00BD4A6C"/>
    <w:rsid w:val="00BD5563"/>
    <w:rsid w:val="00BD561A"/>
    <w:rsid w:val="00BE3544"/>
    <w:rsid w:val="00BE4EDA"/>
    <w:rsid w:val="00BE5848"/>
    <w:rsid w:val="00BE70EC"/>
    <w:rsid w:val="00BF05C8"/>
    <w:rsid w:val="00BF1312"/>
    <w:rsid w:val="00BF3C69"/>
    <w:rsid w:val="00BF48D8"/>
    <w:rsid w:val="00BF547A"/>
    <w:rsid w:val="00BF620D"/>
    <w:rsid w:val="00BF726E"/>
    <w:rsid w:val="00C00FC3"/>
    <w:rsid w:val="00C01DFD"/>
    <w:rsid w:val="00C056DB"/>
    <w:rsid w:val="00C057AD"/>
    <w:rsid w:val="00C06278"/>
    <w:rsid w:val="00C064D2"/>
    <w:rsid w:val="00C06D88"/>
    <w:rsid w:val="00C06FF6"/>
    <w:rsid w:val="00C07889"/>
    <w:rsid w:val="00C1046D"/>
    <w:rsid w:val="00C1065A"/>
    <w:rsid w:val="00C1315C"/>
    <w:rsid w:val="00C205D8"/>
    <w:rsid w:val="00C21315"/>
    <w:rsid w:val="00C255CF"/>
    <w:rsid w:val="00C2654F"/>
    <w:rsid w:val="00C26C47"/>
    <w:rsid w:val="00C33044"/>
    <w:rsid w:val="00C35FAB"/>
    <w:rsid w:val="00C411C9"/>
    <w:rsid w:val="00C445D1"/>
    <w:rsid w:val="00C45569"/>
    <w:rsid w:val="00C46413"/>
    <w:rsid w:val="00C50022"/>
    <w:rsid w:val="00C50E9C"/>
    <w:rsid w:val="00C52E97"/>
    <w:rsid w:val="00C55404"/>
    <w:rsid w:val="00C57AC2"/>
    <w:rsid w:val="00C57D91"/>
    <w:rsid w:val="00C64BBE"/>
    <w:rsid w:val="00C74003"/>
    <w:rsid w:val="00C77879"/>
    <w:rsid w:val="00C81906"/>
    <w:rsid w:val="00C83858"/>
    <w:rsid w:val="00C85A6E"/>
    <w:rsid w:val="00C85DE1"/>
    <w:rsid w:val="00C877BB"/>
    <w:rsid w:val="00CA0EAB"/>
    <w:rsid w:val="00CA52E5"/>
    <w:rsid w:val="00CA69F2"/>
    <w:rsid w:val="00CA71F7"/>
    <w:rsid w:val="00CA7453"/>
    <w:rsid w:val="00CB0646"/>
    <w:rsid w:val="00CB2A53"/>
    <w:rsid w:val="00CB3EB1"/>
    <w:rsid w:val="00CB43F2"/>
    <w:rsid w:val="00CB63A1"/>
    <w:rsid w:val="00CB69D0"/>
    <w:rsid w:val="00CB6E58"/>
    <w:rsid w:val="00CB745C"/>
    <w:rsid w:val="00CC037F"/>
    <w:rsid w:val="00CC29E2"/>
    <w:rsid w:val="00CC41AE"/>
    <w:rsid w:val="00CC52A8"/>
    <w:rsid w:val="00CC6C64"/>
    <w:rsid w:val="00CC71B9"/>
    <w:rsid w:val="00CD433A"/>
    <w:rsid w:val="00CD5C04"/>
    <w:rsid w:val="00CD6E9F"/>
    <w:rsid w:val="00CE35D6"/>
    <w:rsid w:val="00CE68F9"/>
    <w:rsid w:val="00CE6CC1"/>
    <w:rsid w:val="00CF5D0E"/>
    <w:rsid w:val="00CF7027"/>
    <w:rsid w:val="00D004C5"/>
    <w:rsid w:val="00D0141C"/>
    <w:rsid w:val="00D01C29"/>
    <w:rsid w:val="00D0361C"/>
    <w:rsid w:val="00D037C6"/>
    <w:rsid w:val="00D065C3"/>
    <w:rsid w:val="00D068C6"/>
    <w:rsid w:val="00D077E1"/>
    <w:rsid w:val="00D07BED"/>
    <w:rsid w:val="00D10772"/>
    <w:rsid w:val="00D1244F"/>
    <w:rsid w:val="00D14496"/>
    <w:rsid w:val="00D14E3F"/>
    <w:rsid w:val="00D1596C"/>
    <w:rsid w:val="00D15FBE"/>
    <w:rsid w:val="00D168BC"/>
    <w:rsid w:val="00D21291"/>
    <w:rsid w:val="00D2130A"/>
    <w:rsid w:val="00D23F46"/>
    <w:rsid w:val="00D24507"/>
    <w:rsid w:val="00D26FE3"/>
    <w:rsid w:val="00D30E3E"/>
    <w:rsid w:val="00D32CB3"/>
    <w:rsid w:val="00D400A8"/>
    <w:rsid w:val="00D42AAB"/>
    <w:rsid w:val="00D47255"/>
    <w:rsid w:val="00D473E9"/>
    <w:rsid w:val="00D50B33"/>
    <w:rsid w:val="00D526F6"/>
    <w:rsid w:val="00D53AC3"/>
    <w:rsid w:val="00D548C5"/>
    <w:rsid w:val="00D55D71"/>
    <w:rsid w:val="00D56362"/>
    <w:rsid w:val="00D57E66"/>
    <w:rsid w:val="00D612AD"/>
    <w:rsid w:val="00D61C79"/>
    <w:rsid w:val="00D7053E"/>
    <w:rsid w:val="00D743A8"/>
    <w:rsid w:val="00D74FD4"/>
    <w:rsid w:val="00D76505"/>
    <w:rsid w:val="00D82668"/>
    <w:rsid w:val="00D84234"/>
    <w:rsid w:val="00D970B3"/>
    <w:rsid w:val="00D976CB"/>
    <w:rsid w:val="00DA06A3"/>
    <w:rsid w:val="00DA395A"/>
    <w:rsid w:val="00DA547F"/>
    <w:rsid w:val="00DA55B5"/>
    <w:rsid w:val="00DA6DF6"/>
    <w:rsid w:val="00DA78E1"/>
    <w:rsid w:val="00DB124D"/>
    <w:rsid w:val="00DB1D74"/>
    <w:rsid w:val="00DB6296"/>
    <w:rsid w:val="00DB6E3E"/>
    <w:rsid w:val="00DC2D10"/>
    <w:rsid w:val="00DC7D70"/>
    <w:rsid w:val="00DC7EDB"/>
    <w:rsid w:val="00DD0582"/>
    <w:rsid w:val="00DD3188"/>
    <w:rsid w:val="00DD3588"/>
    <w:rsid w:val="00DD5236"/>
    <w:rsid w:val="00DE05A3"/>
    <w:rsid w:val="00DE0879"/>
    <w:rsid w:val="00DE2BEF"/>
    <w:rsid w:val="00DE3FEB"/>
    <w:rsid w:val="00DE5CF3"/>
    <w:rsid w:val="00DE78FA"/>
    <w:rsid w:val="00DF121A"/>
    <w:rsid w:val="00DF20B5"/>
    <w:rsid w:val="00DF2334"/>
    <w:rsid w:val="00DF3177"/>
    <w:rsid w:val="00DF5117"/>
    <w:rsid w:val="00E00AF9"/>
    <w:rsid w:val="00E04478"/>
    <w:rsid w:val="00E04AB6"/>
    <w:rsid w:val="00E0681A"/>
    <w:rsid w:val="00E1250C"/>
    <w:rsid w:val="00E14C1E"/>
    <w:rsid w:val="00E1510C"/>
    <w:rsid w:val="00E211EC"/>
    <w:rsid w:val="00E22D81"/>
    <w:rsid w:val="00E23848"/>
    <w:rsid w:val="00E23E6C"/>
    <w:rsid w:val="00E27105"/>
    <w:rsid w:val="00E33C4F"/>
    <w:rsid w:val="00E3486C"/>
    <w:rsid w:val="00E353D1"/>
    <w:rsid w:val="00E35D65"/>
    <w:rsid w:val="00E364F2"/>
    <w:rsid w:val="00E41770"/>
    <w:rsid w:val="00E41E73"/>
    <w:rsid w:val="00E438D0"/>
    <w:rsid w:val="00E51691"/>
    <w:rsid w:val="00E56BAC"/>
    <w:rsid w:val="00E56DD3"/>
    <w:rsid w:val="00E67DB3"/>
    <w:rsid w:val="00E711C3"/>
    <w:rsid w:val="00E72AAB"/>
    <w:rsid w:val="00E80D7B"/>
    <w:rsid w:val="00E81DD2"/>
    <w:rsid w:val="00E8340A"/>
    <w:rsid w:val="00E83C05"/>
    <w:rsid w:val="00E84814"/>
    <w:rsid w:val="00E86C76"/>
    <w:rsid w:val="00E9043B"/>
    <w:rsid w:val="00E95675"/>
    <w:rsid w:val="00E959DB"/>
    <w:rsid w:val="00EA5B2B"/>
    <w:rsid w:val="00EA6534"/>
    <w:rsid w:val="00EA687E"/>
    <w:rsid w:val="00EB3E83"/>
    <w:rsid w:val="00EB43F3"/>
    <w:rsid w:val="00EB5D96"/>
    <w:rsid w:val="00EB6B3C"/>
    <w:rsid w:val="00EC4180"/>
    <w:rsid w:val="00ED7230"/>
    <w:rsid w:val="00EE23F2"/>
    <w:rsid w:val="00EE29EF"/>
    <w:rsid w:val="00EE467B"/>
    <w:rsid w:val="00EE775E"/>
    <w:rsid w:val="00EE7A9B"/>
    <w:rsid w:val="00EE7B03"/>
    <w:rsid w:val="00EF28CC"/>
    <w:rsid w:val="00EF28FE"/>
    <w:rsid w:val="00EF49B7"/>
    <w:rsid w:val="00EF5126"/>
    <w:rsid w:val="00EF6837"/>
    <w:rsid w:val="00F007D9"/>
    <w:rsid w:val="00F00B0C"/>
    <w:rsid w:val="00F015AB"/>
    <w:rsid w:val="00F0177B"/>
    <w:rsid w:val="00F03AD9"/>
    <w:rsid w:val="00F1331A"/>
    <w:rsid w:val="00F13BC1"/>
    <w:rsid w:val="00F17649"/>
    <w:rsid w:val="00F20ED3"/>
    <w:rsid w:val="00F22125"/>
    <w:rsid w:val="00F225DA"/>
    <w:rsid w:val="00F2381E"/>
    <w:rsid w:val="00F253FE"/>
    <w:rsid w:val="00F254ED"/>
    <w:rsid w:val="00F3253B"/>
    <w:rsid w:val="00F340B5"/>
    <w:rsid w:val="00F36B1C"/>
    <w:rsid w:val="00F40068"/>
    <w:rsid w:val="00F40A74"/>
    <w:rsid w:val="00F4300F"/>
    <w:rsid w:val="00F50513"/>
    <w:rsid w:val="00F50628"/>
    <w:rsid w:val="00F53382"/>
    <w:rsid w:val="00F546F1"/>
    <w:rsid w:val="00F55060"/>
    <w:rsid w:val="00F55D1A"/>
    <w:rsid w:val="00F56B09"/>
    <w:rsid w:val="00F57ABE"/>
    <w:rsid w:val="00F66D7A"/>
    <w:rsid w:val="00F67787"/>
    <w:rsid w:val="00F70546"/>
    <w:rsid w:val="00F70EE8"/>
    <w:rsid w:val="00F735C0"/>
    <w:rsid w:val="00F75165"/>
    <w:rsid w:val="00F815EE"/>
    <w:rsid w:val="00F90014"/>
    <w:rsid w:val="00F90434"/>
    <w:rsid w:val="00F90D67"/>
    <w:rsid w:val="00F9374D"/>
    <w:rsid w:val="00F95119"/>
    <w:rsid w:val="00F96C07"/>
    <w:rsid w:val="00FA08DE"/>
    <w:rsid w:val="00FA1F35"/>
    <w:rsid w:val="00FA298F"/>
    <w:rsid w:val="00FA46C4"/>
    <w:rsid w:val="00FA4FFB"/>
    <w:rsid w:val="00FB1BA1"/>
    <w:rsid w:val="00FB2FE0"/>
    <w:rsid w:val="00FB330D"/>
    <w:rsid w:val="00FB37FC"/>
    <w:rsid w:val="00FB3892"/>
    <w:rsid w:val="00FB4EC9"/>
    <w:rsid w:val="00FB5BFD"/>
    <w:rsid w:val="00FB5D66"/>
    <w:rsid w:val="00FB6213"/>
    <w:rsid w:val="00FB6B5F"/>
    <w:rsid w:val="00FD5C92"/>
    <w:rsid w:val="00FD6F67"/>
    <w:rsid w:val="00FE033C"/>
    <w:rsid w:val="00FE4EF4"/>
    <w:rsid w:val="00FE67DB"/>
    <w:rsid w:val="00FE758B"/>
    <w:rsid w:val="00FF5D4F"/>
    <w:rsid w:val="01F36FCC"/>
    <w:rsid w:val="02783C24"/>
    <w:rsid w:val="02913320"/>
    <w:rsid w:val="02DB0C73"/>
    <w:rsid w:val="03DC515E"/>
    <w:rsid w:val="0458231F"/>
    <w:rsid w:val="050D54CC"/>
    <w:rsid w:val="056A1C9B"/>
    <w:rsid w:val="06555E35"/>
    <w:rsid w:val="07A33604"/>
    <w:rsid w:val="096C651B"/>
    <w:rsid w:val="09F63A75"/>
    <w:rsid w:val="0BB74765"/>
    <w:rsid w:val="0D095FDF"/>
    <w:rsid w:val="0EDE5316"/>
    <w:rsid w:val="1015269C"/>
    <w:rsid w:val="10615DE4"/>
    <w:rsid w:val="108A2472"/>
    <w:rsid w:val="10A16A11"/>
    <w:rsid w:val="13C779D4"/>
    <w:rsid w:val="14C3165B"/>
    <w:rsid w:val="176D4508"/>
    <w:rsid w:val="177D5739"/>
    <w:rsid w:val="18145A2F"/>
    <w:rsid w:val="18317AE9"/>
    <w:rsid w:val="18845888"/>
    <w:rsid w:val="1A141B16"/>
    <w:rsid w:val="1A187AC0"/>
    <w:rsid w:val="1AA347B0"/>
    <w:rsid w:val="1BA3751A"/>
    <w:rsid w:val="1C7845F3"/>
    <w:rsid w:val="1CE37891"/>
    <w:rsid w:val="1F2B5BA0"/>
    <w:rsid w:val="22197450"/>
    <w:rsid w:val="22CF5CE0"/>
    <w:rsid w:val="236478D2"/>
    <w:rsid w:val="23BE461D"/>
    <w:rsid w:val="247A0860"/>
    <w:rsid w:val="255E0D54"/>
    <w:rsid w:val="26016428"/>
    <w:rsid w:val="282835C4"/>
    <w:rsid w:val="286E752C"/>
    <w:rsid w:val="29422464"/>
    <w:rsid w:val="294E6051"/>
    <w:rsid w:val="296F42E9"/>
    <w:rsid w:val="2A68545F"/>
    <w:rsid w:val="2AB67C2D"/>
    <w:rsid w:val="2BAF1BD9"/>
    <w:rsid w:val="2DF53F49"/>
    <w:rsid w:val="2F2443BA"/>
    <w:rsid w:val="3217421E"/>
    <w:rsid w:val="32F023AC"/>
    <w:rsid w:val="34750B94"/>
    <w:rsid w:val="362115CD"/>
    <w:rsid w:val="37C10C39"/>
    <w:rsid w:val="37DE0140"/>
    <w:rsid w:val="389E1175"/>
    <w:rsid w:val="3A7C4E28"/>
    <w:rsid w:val="3B9A0AA0"/>
    <w:rsid w:val="3C426B3B"/>
    <w:rsid w:val="3CFB49AC"/>
    <w:rsid w:val="3DCC6348"/>
    <w:rsid w:val="3EFF3546"/>
    <w:rsid w:val="3FA820E7"/>
    <w:rsid w:val="409D279A"/>
    <w:rsid w:val="409E2DE0"/>
    <w:rsid w:val="40AF376F"/>
    <w:rsid w:val="41E9571B"/>
    <w:rsid w:val="42D40E7A"/>
    <w:rsid w:val="43B92ECB"/>
    <w:rsid w:val="446A0C2B"/>
    <w:rsid w:val="447F5C34"/>
    <w:rsid w:val="462E25E6"/>
    <w:rsid w:val="46744858"/>
    <w:rsid w:val="46B024EC"/>
    <w:rsid w:val="4A8C3664"/>
    <w:rsid w:val="4B5D6821"/>
    <w:rsid w:val="4EF91513"/>
    <w:rsid w:val="4F6D5F64"/>
    <w:rsid w:val="4F6F50DC"/>
    <w:rsid w:val="51EA5392"/>
    <w:rsid w:val="52B0193D"/>
    <w:rsid w:val="55100979"/>
    <w:rsid w:val="558605B8"/>
    <w:rsid w:val="561A7844"/>
    <w:rsid w:val="562A274A"/>
    <w:rsid w:val="57BA09D4"/>
    <w:rsid w:val="5C3E1A6D"/>
    <w:rsid w:val="5CFA77C7"/>
    <w:rsid w:val="5E905550"/>
    <w:rsid w:val="5FB00668"/>
    <w:rsid w:val="61711FE5"/>
    <w:rsid w:val="61C6117D"/>
    <w:rsid w:val="628950FE"/>
    <w:rsid w:val="62F01A68"/>
    <w:rsid w:val="62FD297C"/>
    <w:rsid w:val="633F11E7"/>
    <w:rsid w:val="659B647C"/>
    <w:rsid w:val="6A1C6C2D"/>
    <w:rsid w:val="6BC719E5"/>
    <w:rsid w:val="6DBD1386"/>
    <w:rsid w:val="6E501A71"/>
    <w:rsid w:val="6F8F0800"/>
    <w:rsid w:val="741F68A2"/>
    <w:rsid w:val="76854D0B"/>
    <w:rsid w:val="794C237F"/>
    <w:rsid w:val="79C2046E"/>
    <w:rsid w:val="79C43D9C"/>
    <w:rsid w:val="79E48B9E"/>
    <w:rsid w:val="79EF53C7"/>
    <w:rsid w:val="79FD2662"/>
    <w:rsid w:val="7AB33D92"/>
    <w:rsid w:val="7B0E628B"/>
    <w:rsid w:val="7B71191C"/>
    <w:rsid w:val="7B8C777D"/>
    <w:rsid w:val="7C224DAA"/>
    <w:rsid w:val="7CF16C56"/>
    <w:rsid w:val="7D895449"/>
    <w:rsid w:val="7EF11BD4"/>
    <w:rsid w:val="7F870480"/>
    <w:rsid w:val="82BFDD24"/>
    <w:rsid w:val="96579309"/>
    <w:rsid w:val="97ECE2B0"/>
    <w:rsid w:val="D5B94B66"/>
    <w:rsid w:val="D7F982AB"/>
    <w:rsid w:val="FFEBD33D"/>
    <w:rsid w:val="FFFF9A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21"/>
    <w:qFormat/>
    <w:uiPriority w:val="0"/>
    <w:pPr>
      <w:keepNext/>
      <w:keepLines/>
      <w:spacing w:before="340" w:after="330" w:line="578" w:lineRule="auto"/>
      <w:outlineLvl w:val="0"/>
    </w:pPr>
    <w:rPr>
      <w:b/>
      <w:bCs/>
      <w:kern w:val="44"/>
      <w:sz w:val="44"/>
      <w:szCs w:val="44"/>
    </w:rPr>
  </w:style>
  <w:style w:type="paragraph" w:styleId="3">
    <w:name w:val="heading 3"/>
    <w:basedOn w:val="1"/>
    <w:next w:val="1"/>
    <w:link w:val="22"/>
    <w:qFormat/>
    <w:uiPriority w:val="0"/>
    <w:pPr>
      <w:keepNext/>
      <w:keepLines/>
      <w:spacing w:before="380" w:after="380" w:line="560" w:lineRule="exact"/>
      <w:outlineLvl w:val="2"/>
    </w:pPr>
    <w:rPr>
      <w:rFonts w:eastAsia="仿宋_GB2312"/>
      <w:b/>
      <w:bCs/>
      <w:kern w:val="0"/>
      <w:sz w:val="28"/>
      <w:szCs w:val="32"/>
    </w:rPr>
  </w:style>
  <w:style w:type="paragraph" w:styleId="4">
    <w:name w:val="heading 4"/>
    <w:basedOn w:val="1"/>
    <w:next w:val="1"/>
    <w:unhideWhenUsed/>
    <w:qFormat/>
    <w:uiPriority w:val="9"/>
    <w:pPr>
      <w:keepNext/>
      <w:keepLines/>
      <w:spacing w:before="280" w:after="290" w:line="376" w:lineRule="auto"/>
      <w:outlineLvl w:val="3"/>
    </w:pPr>
    <w:rPr>
      <w:rFonts w:ascii="Calibri Light" w:hAnsi="Calibri Light"/>
      <w:b/>
      <w:bCs/>
      <w:sz w:val="28"/>
      <w:szCs w:val="28"/>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5">
    <w:name w:val="caption"/>
    <w:basedOn w:val="1"/>
    <w:next w:val="1"/>
    <w:qFormat/>
    <w:uiPriority w:val="0"/>
    <w:rPr>
      <w:rFonts w:ascii="华文新魏" w:hAnsi="华文新魏" w:eastAsia="华文行楷"/>
      <w:sz w:val="20"/>
      <w:szCs w:val="22"/>
    </w:rPr>
  </w:style>
  <w:style w:type="paragraph" w:styleId="6">
    <w:name w:val="annotation text"/>
    <w:basedOn w:val="1"/>
    <w:link w:val="23"/>
    <w:qFormat/>
    <w:uiPriority w:val="0"/>
    <w:pPr>
      <w:jc w:val="left"/>
    </w:pPr>
    <w:rPr>
      <w:kern w:val="0"/>
      <w:sz w:val="24"/>
      <w:szCs w:val="24"/>
    </w:rPr>
  </w:style>
  <w:style w:type="paragraph" w:styleId="7">
    <w:name w:val="Body Text"/>
    <w:basedOn w:val="1"/>
    <w:qFormat/>
    <w:uiPriority w:val="0"/>
    <w:pPr>
      <w:spacing w:after="120"/>
    </w:pPr>
  </w:style>
  <w:style w:type="paragraph" w:styleId="8">
    <w:name w:val="Balloon Text"/>
    <w:basedOn w:val="1"/>
    <w:qFormat/>
    <w:uiPriority w:val="0"/>
    <w:rPr>
      <w:sz w:val="18"/>
      <w:szCs w:val="18"/>
    </w:rPr>
  </w:style>
  <w:style w:type="paragraph" w:styleId="9">
    <w:name w:val="footer"/>
    <w:basedOn w:val="1"/>
    <w:link w:val="24"/>
    <w:qFormat/>
    <w:uiPriority w:val="0"/>
    <w:pPr>
      <w:tabs>
        <w:tab w:val="center" w:pos="4153"/>
        <w:tab w:val="right" w:pos="8306"/>
      </w:tabs>
      <w:snapToGrid w:val="0"/>
      <w:jc w:val="left"/>
    </w:pPr>
    <w:rPr>
      <w:kern w:val="0"/>
      <w:sz w:val="18"/>
      <w:szCs w:val="18"/>
    </w:rPr>
  </w:style>
  <w:style w:type="paragraph" w:styleId="10">
    <w:name w:val="header"/>
    <w:basedOn w:val="1"/>
    <w:link w:val="25"/>
    <w:qFormat/>
    <w:uiPriority w:val="0"/>
    <w:pPr>
      <w:pBdr>
        <w:bottom w:val="single" w:color="auto" w:sz="6" w:space="1"/>
      </w:pBdr>
      <w:tabs>
        <w:tab w:val="center" w:pos="4153"/>
        <w:tab w:val="right" w:pos="8306"/>
      </w:tabs>
      <w:snapToGrid w:val="0"/>
      <w:jc w:val="center"/>
    </w:pPr>
    <w:rPr>
      <w:kern w:val="0"/>
      <w:sz w:val="18"/>
      <w:szCs w:val="18"/>
    </w:rPr>
  </w:style>
  <w:style w:type="paragraph" w:styleId="11">
    <w:name w:val="HTML Preformatted"/>
    <w:basedOn w:val="1"/>
    <w:link w:val="2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12">
    <w:name w:val="Normal (Web)"/>
    <w:basedOn w:val="1"/>
    <w:qFormat/>
    <w:uiPriority w:val="99"/>
    <w:pPr>
      <w:widowControl/>
      <w:spacing w:before="100" w:beforeAutospacing="1" w:after="100" w:afterAutospacing="1"/>
      <w:jc w:val="left"/>
    </w:pPr>
    <w:rPr>
      <w:rFonts w:ascii="宋体" w:hAnsi="宋体"/>
      <w:color w:val="000066"/>
      <w:kern w:val="0"/>
      <w:sz w:val="24"/>
      <w:szCs w:val="24"/>
    </w:rPr>
  </w:style>
  <w:style w:type="paragraph" w:styleId="13">
    <w:name w:val="Title"/>
    <w:basedOn w:val="1"/>
    <w:next w:val="1"/>
    <w:link w:val="27"/>
    <w:qFormat/>
    <w:uiPriority w:val="0"/>
    <w:pPr>
      <w:spacing w:before="240" w:after="60"/>
      <w:jc w:val="center"/>
      <w:outlineLvl w:val="0"/>
    </w:pPr>
    <w:rPr>
      <w:rFonts w:ascii="Calibri Light" w:hAnsi="Calibri Light"/>
      <w:b/>
      <w:bCs/>
      <w:sz w:val="32"/>
      <w:szCs w:val="32"/>
    </w:rPr>
  </w:style>
  <w:style w:type="paragraph" w:styleId="14">
    <w:name w:val="annotation subject"/>
    <w:basedOn w:val="6"/>
    <w:next w:val="6"/>
    <w:qFormat/>
    <w:uiPriority w:val="0"/>
    <w:rPr>
      <w:b/>
      <w:bCs/>
      <w:kern w:val="2"/>
      <w:sz w:val="21"/>
      <w:szCs w:val="21"/>
    </w:rPr>
  </w:style>
  <w:style w:type="paragraph" w:styleId="15">
    <w:name w:val="Body Text First Indent"/>
    <w:basedOn w:val="7"/>
    <w:qFormat/>
    <w:uiPriority w:val="0"/>
    <w:pPr>
      <w:spacing w:line="360" w:lineRule="auto"/>
      <w:ind w:firstLine="420" w:firstLineChars="100"/>
    </w:pPr>
    <w:rPr>
      <w:rFonts w:ascii="微软雅黑" w:hAnsi="微软雅黑" w:eastAsia="微软雅黑" w:cs="微软雅黑"/>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page number"/>
    <w:qFormat/>
    <w:uiPriority w:val="0"/>
    <w:rPr>
      <w:rFonts w:ascii="Times New Roman" w:hAnsi="Times New Roman" w:eastAsia="宋体" w:cs="Times New Roman"/>
    </w:rPr>
  </w:style>
  <w:style w:type="character" w:styleId="20">
    <w:name w:val="annotation reference"/>
    <w:qFormat/>
    <w:uiPriority w:val="0"/>
    <w:rPr>
      <w:rFonts w:ascii="Times New Roman" w:hAnsi="Times New Roman" w:eastAsia="宋体" w:cs="Times New Roman"/>
      <w:sz w:val="21"/>
      <w:szCs w:val="21"/>
    </w:rPr>
  </w:style>
  <w:style w:type="character" w:customStyle="1" w:styleId="21">
    <w:name w:val="标题 1 字符"/>
    <w:link w:val="2"/>
    <w:qFormat/>
    <w:uiPriority w:val="0"/>
    <w:rPr>
      <w:rFonts w:ascii="Times New Roman" w:hAnsi="Times New Roman" w:eastAsia="宋体" w:cs="Times New Roman"/>
      <w:b/>
      <w:bCs/>
      <w:kern w:val="44"/>
      <w:sz w:val="44"/>
      <w:szCs w:val="44"/>
    </w:rPr>
  </w:style>
  <w:style w:type="character" w:customStyle="1" w:styleId="22">
    <w:name w:val="标题 3 字符"/>
    <w:link w:val="3"/>
    <w:qFormat/>
    <w:uiPriority w:val="0"/>
    <w:rPr>
      <w:rFonts w:ascii="Times New Roman" w:hAnsi="Times New Roman" w:eastAsia="仿宋_GB2312" w:cs="Times New Roman"/>
      <w:b/>
      <w:bCs/>
      <w:sz w:val="28"/>
      <w:szCs w:val="32"/>
    </w:rPr>
  </w:style>
  <w:style w:type="character" w:customStyle="1" w:styleId="23">
    <w:name w:val="批注文字 字符"/>
    <w:link w:val="6"/>
    <w:qFormat/>
    <w:uiPriority w:val="0"/>
    <w:rPr>
      <w:rFonts w:ascii="Times New Roman" w:hAnsi="Times New Roman" w:eastAsia="宋体" w:cs="Times New Roman"/>
      <w:kern w:val="0"/>
      <w:sz w:val="24"/>
      <w:szCs w:val="24"/>
    </w:rPr>
  </w:style>
  <w:style w:type="character" w:customStyle="1" w:styleId="24">
    <w:name w:val="页脚 字符"/>
    <w:link w:val="9"/>
    <w:qFormat/>
    <w:uiPriority w:val="0"/>
    <w:rPr>
      <w:rFonts w:ascii="Times New Roman" w:hAnsi="Times New Roman" w:eastAsia="宋体" w:cs="Times New Roman"/>
      <w:sz w:val="18"/>
      <w:szCs w:val="18"/>
    </w:rPr>
  </w:style>
  <w:style w:type="character" w:customStyle="1" w:styleId="25">
    <w:name w:val="页眉 字符"/>
    <w:link w:val="10"/>
    <w:qFormat/>
    <w:uiPriority w:val="0"/>
    <w:rPr>
      <w:rFonts w:ascii="Times New Roman" w:hAnsi="Times New Roman" w:eastAsia="宋体" w:cs="Times New Roman"/>
      <w:sz w:val="18"/>
      <w:szCs w:val="18"/>
    </w:rPr>
  </w:style>
  <w:style w:type="character" w:customStyle="1" w:styleId="26">
    <w:name w:val="HTML 预设格式 字符"/>
    <w:link w:val="11"/>
    <w:qFormat/>
    <w:uiPriority w:val="0"/>
    <w:rPr>
      <w:rFonts w:ascii="宋体" w:hAnsi="宋体" w:eastAsia="宋体" w:cs="宋体"/>
      <w:sz w:val="24"/>
      <w:szCs w:val="24"/>
    </w:rPr>
  </w:style>
  <w:style w:type="character" w:customStyle="1" w:styleId="27">
    <w:name w:val="标题 字符"/>
    <w:link w:val="13"/>
    <w:qFormat/>
    <w:uiPriority w:val="0"/>
    <w:rPr>
      <w:rFonts w:ascii="Calibri Light" w:hAnsi="Calibri Light" w:eastAsia="宋体" w:cs="Times New Roman"/>
      <w:b/>
      <w:bCs/>
      <w:kern w:val="2"/>
      <w:sz w:val="32"/>
      <w:szCs w:val="32"/>
    </w:rPr>
  </w:style>
  <w:style w:type="paragraph" w:styleId="28">
    <w:name w:val="No Spacing"/>
    <w:link w:val="29"/>
    <w:qFormat/>
    <w:uiPriority w:val="0"/>
    <w:rPr>
      <w:rFonts w:ascii="Times New Roman" w:hAnsi="Times New Roman" w:eastAsia="宋体" w:cs="Times New Roman"/>
      <w:sz w:val="22"/>
      <w:szCs w:val="22"/>
      <w:lang w:val="en-US" w:eastAsia="zh-CN" w:bidi="ar-SA"/>
    </w:rPr>
  </w:style>
  <w:style w:type="character" w:customStyle="1" w:styleId="29">
    <w:name w:val="无间隔 字符"/>
    <w:link w:val="28"/>
    <w:qFormat/>
    <w:uiPriority w:val="0"/>
    <w:rPr>
      <w:rFonts w:ascii="Times New Roman" w:hAnsi="Times New Roman" w:eastAsia="宋体" w:cs="Times New Roman"/>
      <w:sz w:val="22"/>
      <w:szCs w:val="22"/>
      <w:lang w:val="en-US" w:eastAsia="zh-CN" w:bidi="ar-SA"/>
    </w:rPr>
  </w:style>
  <w:style w:type="paragraph" w:customStyle="1" w:styleId="30">
    <w:name w:val="5-内文"/>
    <w:basedOn w:val="1"/>
    <w:link w:val="31"/>
    <w:qFormat/>
    <w:uiPriority w:val="0"/>
    <w:pPr>
      <w:spacing w:beforeLines="25" w:afterLines="25" w:line="300" w:lineRule="auto"/>
      <w:ind w:firstLine="200" w:firstLineChars="200"/>
    </w:pPr>
    <w:rPr>
      <w:rFonts w:eastAsia="仿宋_GB2312"/>
      <w:kern w:val="0"/>
      <w:sz w:val="28"/>
      <w:szCs w:val="20"/>
    </w:rPr>
  </w:style>
  <w:style w:type="character" w:customStyle="1" w:styleId="31">
    <w:name w:val="5-内文 Char"/>
    <w:link w:val="30"/>
    <w:qFormat/>
    <w:uiPriority w:val="0"/>
    <w:rPr>
      <w:rFonts w:ascii="Times New Roman" w:hAnsi="Times New Roman" w:eastAsia="仿宋_GB2312" w:cs="Times New Roman"/>
      <w:sz w:val="28"/>
      <w:szCs w:val="20"/>
    </w:rPr>
  </w:style>
  <w:style w:type="paragraph" w:customStyle="1" w:styleId="32">
    <w:name w:val="_Style 3"/>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1.bin"/><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4.wmf"/><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45</Pages>
  <Words>17930</Words>
  <Characters>21782</Characters>
  <Lines>171</Lines>
  <Paragraphs>48</Paragraphs>
  <TotalTime>12</TotalTime>
  <ScaleCrop>false</ScaleCrop>
  <LinksUpToDate>false</LinksUpToDate>
  <CharactersWithSpaces>22419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2021-07-01T20:13:00Z</dcterms:created>
  <dc:creator>官小军</dc:creator>
  <cp:lastModifiedBy>李恬 </cp:lastModifiedBy>
  <cp:lastPrinted>2016-01-18T00:27:00Z</cp:lastPrinted>
  <dcterms:modified xsi:type="dcterms:W3CDTF">2026-10-22T05:19:57Z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93E63D13766D4E319FC73930F069C321_13</vt:lpwstr>
  </property>
  <property fmtid="{D5CDD505-2E9C-101B-9397-08002B2CF9AE}" pid="4" name="KSOTemplateDocerSaveRecord">
    <vt:lpwstr>eyJoZGlkIjoiMjY3MjgxNTc2NTBmZGEyZDc3ODk5MmE0MDY2OTY4YWMiLCJ1c2VySWQiOiI1Mjk4NDU0OTcifQ==</vt:lpwstr>
  </property>
</Properties>
</file>