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65C020">
      <w:pPr>
        <w:adjustRightInd w:val="0"/>
        <w:snapToGrid w:val="0"/>
        <w:spacing w:before="0" w:after="540" w:line="540" w:lineRule="exact"/>
        <w:ind w:left="0" w:right="0" w:firstLine="0"/>
        <w:jc w:val="center"/>
        <w:rPr>
          <w:rFonts w:hint="eastAsia" w:ascii="仿宋" w:hAnsi="仿宋" w:eastAsia="方正小标宋简体" w:cs="仿宋"/>
          <w:b/>
          <w:bCs/>
          <w:sz w:val="36"/>
          <w:szCs w:val="36"/>
          <w:lang w:eastAsia="zh-CN"/>
        </w:rPr>
      </w:pPr>
      <w:r>
        <w:rPr>
          <w:rFonts w:hint="eastAsia" w:ascii="方正小标宋简体" w:hAnsi="方正小标宋简体" w:eastAsia="方正小标宋简体" w:cs="方正小标宋简体"/>
          <w:b w:val="0"/>
          <w:bCs w:val="0"/>
          <w:sz w:val="36"/>
          <w:szCs w:val="36"/>
        </w:rPr>
        <w:t>2026年</w:t>
      </w:r>
      <w:r>
        <w:rPr>
          <w:rFonts w:hint="eastAsia" w:ascii="方正小标宋简体" w:hAnsi="方正小标宋简体" w:eastAsia="方正小标宋简体" w:cs="方正小标宋简体"/>
          <w:b w:val="0"/>
          <w:bCs w:val="0"/>
          <w:sz w:val="36"/>
          <w:szCs w:val="36"/>
          <w:lang w:eastAsia="zh-Hans"/>
        </w:rPr>
        <w:t>海南</w:t>
      </w:r>
      <w:r>
        <w:rPr>
          <w:rFonts w:hint="eastAsia" w:ascii="方正小标宋简体" w:hAnsi="方正小标宋简体" w:eastAsia="方正小标宋简体" w:cs="方正小标宋简体"/>
          <w:b w:val="0"/>
          <w:bCs w:val="0"/>
          <w:sz w:val="36"/>
          <w:szCs w:val="36"/>
        </w:rPr>
        <w:t>省职业院校技能大赛</w:t>
      </w:r>
      <w:r>
        <w:rPr>
          <w:rFonts w:hint="eastAsia" w:ascii="方正小标宋简体" w:hAnsi="方正小标宋简体" w:eastAsia="方正小标宋简体" w:cs="方正小标宋简体"/>
          <w:b w:val="0"/>
          <w:bCs w:val="0"/>
          <w:sz w:val="36"/>
          <w:szCs w:val="36"/>
          <w:lang w:eastAsia="zh-CN"/>
        </w:rPr>
        <w:t>（</w:t>
      </w:r>
      <w:r>
        <w:rPr>
          <w:rFonts w:hint="eastAsia" w:ascii="方正小标宋简体" w:hAnsi="方正小标宋简体" w:eastAsia="方正小标宋简体" w:cs="方正小标宋简体"/>
          <w:b w:val="0"/>
          <w:bCs w:val="0"/>
          <w:sz w:val="36"/>
          <w:szCs w:val="36"/>
          <w:lang w:val="en-US" w:eastAsia="zh-CN"/>
        </w:rPr>
        <w:t>高职组</w:t>
      </w:r>
      <w:r>
        <w:rPr>
          <w:rFonts w:hint="eastAsia" w:ascii="方正小标宋简体" w:hAnsi="方正小标宋简体" w:eastAsia="方正小标宋简体" w:cs="方正小标宋简体"/>
          <w:b w:val="0"/>
          <w:bCs w:val="0"/>
          <w:sz w:val="36"/>
          <w:szCs w:val="36"/>
          <w:lang w:eastAsia="zh-CN"/>
        </w:rPr>
        <w:t>）</w:t>
      </w:r>
    </w:p>
    <w:p w14:paraId="6A886490">
      <w:pPr>
        <w:pStyle w:val="2"/>
        <w:adjustRightInd w:val="0"/>
        <w:snapToGrid w:val="0"/>
        <w:spacing w:before="0" w:after="540" w:line="540" w:lineRule="exact"/>
        <w:ind w:left="0" w:right="0" w:firstLine="0"/>
        <w:jc w:val="center"/>
        <w:rPr>
          <w:rFonts w:hint="eastAsia" w:ascii="仿宋" w:hAnsi="仿宋" w:eastAsia="仿宋" w:cs="仿宋"/>
          <w:sz w:val="36"/>
          <w:szCs w:val="36"/>
        </w:rPr>
      </w:pPr>
      <w:r>
        <w:rPr>
          <w:rFonts w:hint="eastAsia" w:ascii="方正小标宋简体" w:hAnsi="方正小标宋简体" w:eastAsia="方正小标宋简体" w:cs="方正小标宋简体"/>
          <w:b w:val="0"/>
          <w:sz w:val="36"/>
          <w:szCs w:val="36"/>
        </w:rPr>
        <w:t>智慧物流赛项规程</w:t>
      </w:r>
    </w:p>
    <w:p w14:paraId="0D86D975">
      <w:pPr>
        <w:pStyle w:val="2"/>
        <w:adjustRightInd w:val="0"/>
        <w:snapToGrid w:val="0"/>
        <w:spacing w:before="0" w:after="0" w:line="540" w:lineRule="exact"/>
        <w:ind w:firstLine="984" w:firstLineChars="350"/>
        <w:jc w:val="left"/>
        <w:rPr>
          <w:rFonts w:hint="eastAsia" w:ascii="仿宋" w:hAnsi="仿宋" w:eastAsia="仿宋" w:cs="仿宋"/>
          <w:bCs w:val="0"/>
          <w:sz w:val="28"/>
          <w:szCs w:val="28"/>
        </w:rPr>
      </w:pPr>
    </w:p>
    <w:p w14:paraId="09511BA0">
      <w:pPr>
        <w:pStyle w:val="2"/>
        <w:adjustRightInd w:val="0"/>
        <w:snapToGrid w:val="0"/>
        <w:spacing w:before="0" w:after="0" w:line="540" w:lineRule="exact"/>
        <w:ind w:firstLine="984" w:firstLineChars="350"/>
        <w:jc w:val="left"/>
        <w:rPr>
          <w:rFonts w:hint="eastAsia" w:ascii="仿宋" w:hAnsi="仿宋" w:eastAsia="仿宋" w:cs="仿宋"/>
          <w:bCs w:val="0"/>
          <w:sz w:val="28"/>
          <w:szCs w:val="28"/>
        </w:rPr>
      </w:pPr>
    </w:p>
    <w:p w14:paraId="079D6C7F">
      <w:pPr>
        <w:pStyle w:val="2"/>
        <w:adjustRightInd w:val="0"/>
        <w:snapToGrid w:val="0"/>
        <w:spacing w:before="0" w:after="0" w:line="540" w:lineRule="exact"/>
        <w:ind w:firstLine="984" w:firstLineChars="350"/>
        <w:jc w:val="left"/>
        <w:rPr>
          <w:rFonts w:hint="eastAsia" w:ascii="仿宋" w:hAnsi="仿宋" w:eastAsia="仿宋" w:cs="仿宋"/>
          <w:bCs w:val="0"/>
          <w:sz w:val="28"/>
          <w:szCs w:val="28"/>
        </w:rPr>
      </w:pPr>
    </w:p>
    <w:p w14:paraId="3D57ED6C">
      <w:pPr>
        <w:spacing w:before="0" w:beforeLines="50" w:after="0" w:line="540" w:lineRule="exact"/>
        <w:ind w:left="0" w:right="0" w:firstLine="560" w:firstLineChars="200"/>
        <w:jc w:val="left"/>
        <w:rPr>
          <w:rFonts w:hint="eastAsia" w:ascii="仿宋" w:hAnsi="仿宋" w:eastAsia="仿宋" w:cs="仿宋"/>
          <w:bCs/>
          <w:kern w:val="0"/>
          <w:sz w:val="28"/>
          <w:szCs w:val="28"/>
          <w:u w:val="single"/>
        </w:rPr>
      </w:pPr>
      <w:r>
        <w:rPr>
          <w:rFonts w:hint="eastAsia" w:ascii="仿宋_GB2312" w:hAnsi="仿宋_GB2312" w:eastAsia="仿宋_GB2312" w:cs="仿宋_GB2312"/>
          <w:b w:val="0"/>
          <w:bCs w:val="0"/>
          <w:kern w:val="0"/>
          <w:sz w:val="28"/>
          <w:szCs w:val="28"/>
        </w:rPr>
        <w:t>赛 项 编 号：</w:t>
      </w:r>
      <w:r>
        <w:rPr>
          <w:rFonts w:hint="eastAsia" w:ascii="仿宋_GB2312" w:hAnsi="仿宋_GB2312" w:eastAsia="仿宋_GB2312" w:cs="仿宋_GB2312"/>
          <w:b w:val="0"/>
          <w:bCs w:val="0"/>
          <w:kern w:val="0"/>
          <w:sz w:val="28"/>
          <w:szCs w:val="28"/>
          <w:u w:val="single"/>
        </w:rPr>
        <w:t xml:space="preserve">     </w:t>
      </w:r>
      <w:r>
        <w:rPr>
          <w:rFonts w:ascii="仿宋_GB2312" w:hAnsi="仿宋_GB2312" w:eastAsia="仿宋_GB2312" w:cs="仿宋_GB2312"/>
          <w:b w:val="0"/>
          <w:bCs w:val="0"/>
          <w:kern w:val="0"/>
          <w:sz w:val="28"/>
          <w:szCs w:val="28"/>
          <w:u w:val="single"/>
        </w:rPr>
        <w:t xml:space="preserve"> </w:t>
      </w:r>
      <w:r>
        <w:rPr>
          <w:rFonts w:hint="eastAsia" w:ascii="仿宋_GB2312" w:hAnsi="仿宋_GB2312" w:eastAsia="仿宋_GB2312" w:cs="仿宋_GB2312"/>
          <w:b w:val="0"/>
          <w:bCs w:val="0"/>
          <w:kern w:val="0"/>
          <w:sz w:val="28"/>
          <w:szCs w:val="28"/>
          <w:u w:val="single"/>
        </w:rPr>
        <w:t xml:space="preserve">       GZ034        </w:t>
      </w:r>
      <w:r>
        <w:rPr>
          <w:rFonts w:ascii="仿宋_GB2312" w:hAnsi="仿宋_GB2312" w:eastAsia="仿宋_GB2312" w:cs="仿宋_GB2312"/>
          <w:b w:val="0"/>
          <w:bCs w:val="0"/>
          <w:kern w:val="0"/>
          <w:sz w:val="28"/>
          <w:szCs w:val="28"/>
          <w:u w:val="single"/>
        </w:rPr>
        <w:t xml:space="preserve"> </w:t>
      </w:r>
      <w:r>
        <w:rPr>
          <w:rFonts w:hint="eastAsia" w:ascii="仿宋_GB2312" w:hAnsi="仿宋_GB2312" w:eastAsia="仿宋_GB2312" w:cs="仿宋_GB2312"/>
          <w:b w:val="0"/>
          <w:bCs w:val="0"/>
          <w:kern w:val="0"/>
          <w:sz w:val="28"/>
          <w:szCs w:val="28"/>
          <w:u w:val="single"/>
        </w:rPr>
        <w:t xml:space="preserve">        </w:t>
      </w:r>
    </w:p>
    <w:p w14:paraId="713C254B">
      <w:pPr>
        <w:spacing w:before="0" w:beforeLines="50" w:after="0" w:line="540" w:lineRule="exact"/>
        <w:ind w:left="0" w:right="0" w:firstLine="560" w:firstLineChars="200"/>
        <w:jc w:val="left"/>
        <w:rPr>
          <w:rFonts w:hint="eastAsia" w:ascii="仿宋" w:hAnsi="仿宋" w:eastAsia="仿宋" w:cs="仿宋"/>
          <w:bCs/>
          <w:sz w:val="28"/>
          <w:szCs w:val="28"/>
          <w:u w:val="single"/>
        </w:rPr>
      </w:pPr>
      <w:r>
        <w:rPr>
          <w:rFonts w:hint="eastAsia" w:ascii="仿宋_GB2312" w:hAnsi="仿宋_GB2312" w:eastAsia="仿宋_GB2312" w:cs="仿宋_GB2312"/>
          <w:b w:val="0"/>
          <w:bCs w:val="0"/>
          <w:kern w:val="0"/>
          <w:sz w:val="28"/>
          <w:szCs w:val="28"/>
        </w:rPr>
        <w:t>赛 项 名 称：</w:t>
      </w:r>
      <w:r>
        <w:rPr>
          <w:rFonts w:hint="eastAsia" w:ascii="仿宋_GB2312" w:hAnsi="仿宋_GB2312" w:eastAsia="仿宋_GB2312" w:cs="仿宋_GB2312"/>
          <w:b w:val="0"/>
          <w:bCs w:val="0"/>
          <w:kern w:val="0"/>
          <w:sz w:val="28"/>
          <w:szCs w:val="28"/>
          <w:u w:val="single"/>
        </w:rPr>
        <w:t xml:space="preserve">           智慧</w:t>
      </w:r>
      <w:r>
        <w:rPr>
          <w:rFonts w:hint="eastAsia" w:ascii="仿宋_GB2312" w:hAnsi="仿宋_GB2312" w:eastAsia="仿宋_GB2312" w:cs="仿宋_GB2312"/>
          <w:b w:val="0"/>
          <w:bCs w:val="0"/>
          <w:sz w:val="28"/>
          <w:szCs w:val="28"/>
          <w:u w:val="single"/>
        </w:rPr>
        <w:t xml:space="preserve">物流                </w:t>
      </w:r>
    </w:p>
    <w:p w14:paraId="2B6F9F04">
      <w:pPr>
        <w:spacing w:before="0" w:beforeLines="50" w:after="0" w:line="540" w:lineRule="exact"/>
        <w:ind w:left="0" w:right="0" w:firstLine="560" w:firstLineChars="200"/>
        <w:jc w:val="left"/>
        <w:rPr>
          <w:rFonts w:hint="eastAsia" w:ascii="仿宋" w:hAnsi="仿宋" w:eastAsia="仿宋" w:cs="仿宋"/>
          <w:bCs/>
          <w:kern w:val="0"/>
          <w:sz w:val="28"/>
          <w:szCs w:val="28"/>
          <w:u w:val="single"/>
        </w:rPr>
      </w:pPr>
      <w:r>
        <w:rPr>
          <w:rFonts w:hint="eastAsia" w:ascii="仿宋_GB2312" w:hAnsi="仿宋_GB2312" w:eastAsia="仿宋_GB2312" w:cs="仿宋_GB2312"/>
          <w:b w:val="0"/>
          <w:bCs w:val="0"/>
          <w:kern w:val="0"/>
          <w:sz w:val="28"/>
          <w:szCs w:val="28"/>
        </w:rPr>
        <w:t>赛 项 组 别：</w:t>
      </w:r>
      <w:r>
        <w:rPr>
          <w:rFonts w:hint="eastAsia" w:ascii="仿宋_GB2312" w:hAnsi="仿宋_GB2312" w:eastAsia="仿宋_GB2312" w:cs="仿宋_GB2312"/>
          <w:b w:val="0"/>
          <w:bCs w:val="0"/>
          <w:kern w:val="0"/>
          <w:sz w:val="28"/>
          <w:szCs w:val="28"/>
          <w:u w:val="single"/>
        </w:rPr>
        <w:t xml:space="preserve">            高职组                 </w:t>
      </w:r>
    </w:p>
    <w:p w14:paraId="74341E2A">
      <w:pPr>
        <w:spacing w:before="0" w:beforeLines="50" w:after="0" w:line="540" w:lineRule="exact"/>
        <w:ind w:left="0" w:right="0" w:firstLine="560" w:firstLineChars="200"/>
        <w:jc w:val="left"/>
        <w:rPr>
          <w:rFonts w:hint="eastAsia" w:ascii="仿宋" w:hAnsi="仿宋" w:eastAsia="仿宋" w:cs="仿宋"/>
          <w:bCs/>
          <w:kern w:val="0"/>
          <w:sz w:val="28"/>
          <w:szCs w:val="28"/>
          <w:u w:val="single"/>
        </w:rPr>
      </w:pPr>
      <w:r>
        <w:rPr>
          <w:rFonts w:hint="eastAsia" w:ascii="仿宋_GB2312" w:hAnsi="仿宋_GB2312" w:eastAsia="仿宋_GB2312" w:cs="仿宋_GB2312"/>
          <w:b w:val="0"/>
          <w:bCs w:val="0"/>
          <w:kern w:val="0"/>
          <w:sz w:val="28"/>
          <w:szCs w:val="28"/>
        </w:rPr>
        <w:t>赛项归属产业:</w:t>
      </w:r>
      <w:r>
        <w:rPr>
          <w:rFonts w:hint="eastAsia" w:ascii="仿宋_GB2312" w:hAnsi="仿宋_GB2312" w:eastAsia="仿宋_GB2312" w:cs="仿宋_GB2312"/>
          <w:b w:val="0"/>
          <w:bCs w:val="0"/>
          <w:kern w:val="0"/>
          <w:sz w:val="28"/>
          <w:szCs w:val="28"/>
          <w:u w:val="single"/>
        </w:rPr>
        <w:t xml:space="preserve">          </w:t>
      </w:r>
      <w:r>
        <w:rPr>
          <w:rFonts w:hint="eastAsia" w:ascii="仿宋_GB2312" w:hAnsi="仿宋_GB2312" w:eastAsia="仿宋_GB2312" w:cs="仿宋_GB2312"/>
          <w:b w:val="0"/>
          <w:bCs w:val="0"/>
          <w:kern w:val="0"/>
          <w:sz w:val="28"/>
          <w:szCs w:val="28"/>
          <w:u w:val="single"/>
          <w:lang w:eastAsia="zh-Hans"/>
        </w:rPr>
        <w:t>财经商贸大类</w:t>
      </w:r>
      <w:r>
        <w:rPr>
          <w:rFonts w:hint="eastAsia" w:ascii="仿宋_GB2312" w:hAnsi="仿宋_GB2312" w:eastAsia="仿宋_GB2312" w:cs="仿宋_GB2312"/>
          <w:b w:val="0"/>
          <w:kern w:val="0"/>
          <w:sz w:val="28"/>
          <w:szCs w:val="28"/>
          <w:u w:val="single"/>
        </w:rPr>
        <w:t xml:space="preserve"> </w:t>
      </w:r>
      <w:r>
        <w:rPr>
          <w:rFonts w:hint="eastAsia" w:ascii="仿宋_GB2312" w:hAnsi="仿宋_GB2312" w:eastAsia="仿宋_GB2312" w:cs="仿宋_GB2312"/>
          <w:b w:val="0"/>
          <w:bCs w:val="0"/>
          <w:kern w:val="0"/>
          <w:sz w:val="28"/>
          <w:szCs w:val="28"/>
          <w:u w:val="single"/>
        </w:rPr>
        <w:t xml:space="preserve">            </w:t>
      </w:r>
    </w:p>
    <w:p w14:paraId="0E761690">
      <w:pPr>
        <w:spacing w:before="0" w:beforeLines="50" w:after="0" w:line="540" w:lineRule="exact"/>
        <w:ind w:left="0" w:right="0" w:firstLine="560"/>
        <w:jc w:val="left"/>
        <w:rPr>
          <w:rFonts w:hint="eastAsia" w:ascii="仿宋" w:hAnsi="仿宋" w:eastAsia="仿宋" w:cs="仿宋"/>
          <w:b/>
          <w:bCs/>
          <w:sz w:val="28"/>
          <w:szCs w:val="28"/>
        </w:rPr>
      </w:pPr>
    </w:p>
    <w:p w14:paraId="634C5BF7">
      <w:pPr>
        <w:pStyle w:val="18"/>
        <w:autoSpaceDN w:val="0"/>
        <w:spacing w:before="0" w:after="0" w:line="540" w:lineRule="exact"/>
        <w:ind w:firstLine="640"/>
        <w:rPr>
          <w:rFonts w:hint="eastAsia" w:ascii="仿宋" w:hAnsi="仿宋" w:eastAsia="仿宋" w:cs="仿宋"/>
          <w:sz w:val="28"/>
          <w:szCs w:val="28"/>
        </w:rPr>
      </w:pPr>
      <w:r>
        <w:rPr>
          <w:rFonts w:hint="eastAsia" w:ascii="仿宋_GB2312" w:hAnsi="仿宋_GB2312" w:eastAsia="仿宋_GB2312" w:cs="仿宋_GB2312"/>
          <w:b w:val="0"/>
          <w:sz w:val="28"/>
          <w:szCs w:val="28"/>
        </w:rPr>
        <w:t xml:space="preserve"> </w:t>
      </w:r>
    </w:p>
    <w:p w14:paraId="037101C7">
      <w:pPr>
        <w:pStyle w:val="18"/>
        <w:autoSpaceDN w:val="0"/>
        <w:spacing w:before="0" w:after="0" w:line="540" w:lineRule="exact"/>
        <w:ind w:firstLine="640"/>
        <w:rPr>
          <w:rFonts w:hint="eastAsia" w:ascii="仿宋" w:hAnsi="仿宋" w:eastAsia="仿宋" w:cs="仿宋"/>
          <w:sz w:val="28"/>
          <w:szCs w:val="28"/>
        </w:rPr>
      </w:pPr>
    </w:p>
    <w:p w14:paraId="215DEA1D">
      <w:pPr>
        <w:pStyle w:val="18"/>
        <w:autoSpaceDN w:val="0"/>
        <w:spacing w:before="0" w:after="0" w:line="540" w:lineRule="exact"/>
        <w:ind w:firstLine="640"/>
        <w:rPr>
          <w:rFonts w:hint="eastAsia" w:ascii="仿宋" w:hAnsi="仿宋" w:eastAsia="仿宋" w:cs="仿宋"/>
          <w:sz w:val="28"/>
          <w:szCs w:val="28"/>
        </w:rPr>
      </w:pPr>
    </w:p>
    <w:p w14:paraId="2AEB2491">
      <w:pPr>
        <w:pStyle w:val="18"/>
        <w:autoSpaceDN w:val="0"/>
        <w:spacing w:before="0" w:after="0" w:line="540" w:lineRule="exact"/>
        <w:ind w:firstLine="640"/>
        <w:rPr>
          <w:rFonts w:hint="eastAsia" w:ascii="仿宋" w:hAnsi="仿宋" w:eastAsia="仿宋" w:cs="仿宋"/>
          <w:sz w:val="28"/>
          <w:szCs w:val="28"/>
        </w:rPr>
      </w:pPr>
    </w:p>
    <w:p w14:paraId="19E693D6">
      <w:pPr>
        <w:pStyle w:val="18"/>
        <w:autoSpaceDN w:val="0"/>
        <w:spacing w:before="0" w:after="0" w:line="540" w:lineRule="exact"/>
        <w:ind w:firstLine="640"/>
        <w:rPr>
          <w:rFonts w:hint="eastAsia" w:ascii="仿宋" w:hAnsi="仿宋" w:eastAsia="仿宋" w:cs="仿宋"/>
          <w:sz w:val="28"/>
          <w:szCs w:val="28"/>
        </w:rPr>
      </w:pPr>
    </w:p>
    <w:p w14:paraId="11DB2E38">
      <w:pPr>
        <w:adjustRightInd w:val="0"/>
        <w:snapToGrid w:val="0"/>
        <w:spacing w:before="0" w:after="0" w:line="540" w:lineRule="exact"/>
        <w:jc w:val="left"/>
        <w:rPr>
          <w:rFonts w:hint="eastAsia" w:ascii="仿宋" w:hAnsi="仿宋" w:eastAsia="仿宋" w:cs="仿宋"/>
          <w:sz w:val="28"/>
          <w:szCs w:val="28"/>
        </w:rPr>
      </w:pPr>
    </w:p>
    <w:p w14:paraId="4AFDB10E">
      <w:pPr>
        <w:adjustRightInd w:val="0"/>
        <w:snapToGrid w:val="0"/>
        <w:spacing w:before="0" w:after="0" w:line="540" w:lineRule="exact"/>
        <w:jc w:val="left"/>
        <w:rPr>
          <w:rFonts w:hint="eastAsia" w:ascii="仿宋" w:hAnsi="仿宋" w:eastAsia="仿宋" w:cs="仿宋"/>
          <w:sz w:val="28"/>
          <w:szCs w:val="28"/>
        </w:rPr>
      </w:pPr>
    </w:p>
    <w:p w14:paraId="18514875">
      <w:pPr>
        <w:adjustRightInd w:val="0"/>
        <w:snapToGrid w:val="0"/>
        <w:spacing w:before="0" w:after="0" w:line="540" w:lineRule="exact"/>
        <w:jc w:val="left"/>
        <w:rPr>
          <w:rFonts w:hint="eastAsia" w:ascii="仿宋" w:hAnsi="仿宋" w:eastAsia="仿宋" w:cs="仿宋"/>
          <w:sz w:val="28"/>
          <w:szCs w:val="28"/>
        </w:rPr>
      </w:pPr>
    </w:p>
    <w:p w14:paraId="2088CC9F">
      <w:pPr>
        <w:adjustRightInd w:val="0"/>
        <w:snapToGrid w:val="0"/>
        <w:spacing w:before="0" w:after="0" w:line="540" w:lineRule="exact"/>
        <w:jc w:val="center"/>
        <w:rPr>
          <w:rFonts w:hint="eastAsia" w:ascii="仿宋" w:hAnsi="仿宋" w:eastAsia="仿宋" w:cs="仿宋"/>
          <w:b/>
          <w:sz w:val="28"/>
          <w:szCs w:val="28"/>
        </w:rPr>
      </w:pPr>
      <w:r>
        <w:rPr>
          <w:rFonts w:hint="eastAsia" w:ascii="仿宋_GB2312" w:hAnsi="仿宋_GB2312" w:eastAsia="仿宋_GB2312" w:cs="仿宋_GB2312"/>
          <w:b w:val="0"/>
          <w:sz w:val="28"/>
          <w:szCs w:val="28"/>
        </w:rPr>
        <w:t xml:space="preserve"> </w:t>
      </w:r>
    </w:p>
    <w:p w14:paraId="3B1EC508">
      <w:pPr>
        <w:adjustRightInd w:val="0"/>
        <w:snapToGrid w:val="0"/>
        <w:spacing w:before="0" w:after="0" w:line="540" w:lineRule="exact"/>
        <w:jc w:val="center"/>
        <w:rPr>
          <w:rFonts w:hint="eastAsia" w:ascii="仿宋" w:hAnsi="仿宋" w:eastAsia="仿宋" w:cs="仿宋"/>
          <w:b/>
          <w:sz w:val="28"/>
          <w:szCs w:val="28"/>
        </w:rPr>
      </w:pPr>
    </w:p>
    <w:p w14:paraId="238089EB">
      <w:pPr>
        <w:spacing w:before="0" w:after="540" w:line="540" w:lineRule="exact"/>
        <w:ind w:left="0" w:right="0" w:firstLine="0"/>
        <w:jc w:val="center"/>
        <w:rPr>
          <w:sz w:val="30"/>
          <w:szCs w:val="30"/>
        </w:rPr>
      </w:pPr>
      <w:r>
        <w:rPr>
          <w:rFonts w:ascii="方正小标宋简体" w:hAnsi="方正小标宋简体" w:eastAsia="方正小标宋简体" w:cs="方正小标宋简体"/>
          <w:b w:val="0"/>
          <w:sz w:val="36"/>
          <w:szCs w:val="30"/>
        </w:rPr>
        <w:t>目录</w:t>
      </w:r>
    </w:p>
    <w:p w14:paraId="1537BF49">
      <w:pPr>
        <w:pStyle w:val="25"/>
        <w:tabs>
          <w:tab w:val="right" w:leader="dot" w:pos="8504"/>
        </w:tabs>
        <w:spacing w:before="0" w:after="0" w:line="540" w:lineRule="exact"/>
        <w:rPr>
          <w:sz w:val="28"/>
          <w:szCs w:val="28"/>
        </w:rPr>
      </w:pPr>
      <w:r>
        <w:rPr>
          <w:rFonts w:hint="eastAsia" w:ascii="仿宋_GB2312" w:hAnsi="仿宋_GB2312" w:eastAsia="仿宋_GB2312" w:cs="仿宋_GB2312"/>
          <w:b w:val="0"/>
          <w:sz w:val="28"/>
          <w:szCs w:val="28"/>
        </w:rPr>
        <w:fldChar w:fldCharType="begin"/>
      </w:r>
      <w:r>
        <w:rPr>
          <w:rFonts w:hint="eastAsia" w:ascii="仿宋_GB2312" w:hAnsi="仿宋_GB2312" w:eastAsia="仿宋_GB2312" w:cs="仿宋_GB2312"/>
          <w:b w:val="0"/>
          <w:sz w:val="28"/>
          <w:szCs w:val="28"/>
        </w:rPr>
        <w:instrText xml:space="preserve">TOC \o "1-1" \h \u </w:instrText>
      </w:r>
      <w:r>
        <w:rPr>
          <w:rFonts w:hint="eastAsia" w:ascii="仿宋_GB2312" w:hAnsi="仿宋_GB2312" w:eastAsia="仿宋_GB2312" w:cs="仿宋_GB2312"/>
          <w:b w:val="0"/>
          <w:sz w:val="28"/>
          <w:szCs w:val="28"/>
        </w:rPr>
        <w:fldChar w:fldCharType="separate"/>
      </w:r>
    </w:p>
    <w:p w14:paraId="16B20EDE">
      <w:pPr>
        <w:pStyle w:val="25"/>
        <w:tabs>
          <w:tab w:val="right" w:leader="dot" w:pos="8504"/>
        </w:tabs>
        <w:spacing w:before="0" w:after="0" w:line="540" w:lineRule="exact"/>
        <w:rPr>
          <w:sz w:val="28"/>
          <w:szCs w:val="28"/>
        </w:rPr>
      </w:pPr>
      <w:r>
        <w:fldChar w:fldCharType="begin"/>
      </w:r>
      <w:r>
        <w:instrText xml:space="preserve"> HYPERLINK \l "_Toc499265163" </w:instrText>
      </w:r>
      <w:r>
        <w:fldChar w:fldCharType="separate"/>
      </w:r>
      <w:r>
        <w:rPr>
          <w:rFonts w:hint="eastAsia" w:ascii="仿宋" w:hAnsi="仿宋" w:eastAsia="仿宋" w:cs="仿宋"/>
          <w:sz w:val="28"/>
          <w:szCs w:val="28"/>
        </w:rPr>
        <w:t>一、竞赛项目名称</w:t>
      </w:r>
      <w:r>
        <w:rPr>
          <w:sz w:val="28"/>
          <w:szCs w:val="28"/>
        </w:rPr>
        <w:tab/>
      </w:r>
      <w:r>
        <w:rPr>
          <w:sz w:val="28"/>
          <w:szCs w:val="28"/>
        </w:rPr>
        <w:fldChar w:fldCharType="begin"/>
      </w:r>
      <w:r>
        <w:rPr>
          <w:sz w:val="28"/>
          <w:szCs w:val="28"/>
        </w:rPr>
        <w:instrText xml:space="preserve"> PAGEREF _Toc499265163 \h </w:instrText>
      </w:r>
      <w:r>
        <w:rPr>
          <w:sz w:val="28"/>
          <w:szCs w:val="28"/>
        </w:rPr>
        <w:fldChar w:fldCharType="separate"/>
      </w:r>
      <w:r>
        <w:rPr>
          <w:sz w:val="28"/>
          <w:szCs w:val="28"/>
        </w:rPr>
        <w:t>1</w:t>
      </w:r>
      <w:r>
        <w:rPr>
          <w:sz w:val="28"/>
          <w:szCs w:val="28"/>
        </w:rPr>
        <w:fldChar w:fldCharType="end"/>
      </w:r>
      <w:r>
        <w:rPr>
          <w:sz w:val="28"/>
          <w:szCs w:val="28"/>
        </w:rPr>
        <w:fldChar w:fldCharType="end"/>
      </w:r>
    </w:p>
    <w:p w14:paraId="47F108BB">
      <w:pPr>
        <w:pStyle w:val="25"/>
        <w:tabs>
          <w:tab w:val="right" w:leader="dot" w:pos="8504"/>
        </w:tabs>
        <w:spacing w:before="0" w:after="0" w:line="540" w:lineRule="exact"/>
        <w:rPr>
          <w:sz w:val="28"/>
          <w:szCs w:val="28"/>
        </w:rPr>
      </w:pPr>
      <w:r>
        <w:fldChar w:fldCharType="begin"/>
      </w:r>
      <w:r>
        <w:instrText xml:space="preserve"> HYPERLINK \l "_Toc930985712" </w:instrText>
      </w:r>
      <w:r>
        <w:fldChar w:fldCharType="separate"/>
      </w:r>
      <w:r>
        <w:rPr>
          <w:rFonts w:hint="eastAsia" w:ascii="仿宋" w:hAnsi="仿宋" w:eastAsia="仿宋" w:cs="仿宋"/>
          <w:sz w:val="28"/>
          <w:szCs w:val="28"/>
        </w:rPr>
        <w:t>二、竞赛目的</w:t>
      </w:r>
      <w:r>
        <w:rPr>
          <w:sz w:val="28"/>
          <w:szCs w:val="28"/>
        </w:rPr>
        <w:tab/>
      </w:r>
      <w:r>
        <w:rPr>
          <w:sz w:val="28"/>
          <w:szCs w:val="28"/>
        </w:rPr>
        <w:fldChar w:fldCharType="begin"/>
      </w:r>
      <w:r>
        <w:rPr>
          <w:sz w:val="28"/>
          <w:szCs w:val="28"/>
        </w:rPr>
        <w:instrText xml:space="preserve"> PAGEREF _Toc930985712 \h </w:instrText>
      </w:r>
      <w:r>
        <w:rPr>
          <w:sz w:val="28"/>
          <w:szCs w:val="28"/>
        </w:rPr>
        <w:fldChar w:fldCharType="separate"/>
      </w:r>
      <w:r>
        <w:rPr>
          <w:sz w:val="28"/>
          <w:szCs w:val="28"/>
        </w:rPr>
        <w:t>1</w:t>
      </w:r>
      <w:r>
        <w:rPr>
          <w:sz w:val="28"/>
          <w:szCs w:val="28"/>
        </w:rPr>
        <w:fldChar w:fldCharType="end"/>
      </w:r>
      <w:r>
        <w:rPr>
          <w:sz w:val="28"/>
          <w:szCs w:val="28"/>
        </w:rPr>
        <w:fldChar w:fldCharType="end"/>
      </w:r>
    </w:p>
    <w:p w14:paraId="04E8BC9D">
      <w:pPr>
        <w:pStyle w:val="25"/>
        <w:tabs>
          <w:tab w:val="right" w:leader="dot" w:pos="8504"/>
        </w:tabs>
        <w:spacing w:before="0" w:after="0" w:line="540" w:lineRule="exact"/>
        <w:rPr>
          <w:sz w:val="28"/>
          <w:szCs w:val="28"/>
        </w:rPr>
      </w:pPr>
      <w:r>
        <w:fldChar w:fldCharType="begin"/>
      </w:r>
      <w:r>
        <w:instrText xml:space="preserve"> HYPERLINK \l "_Toc511009542" </w:instrText>
      </w:r>
      <w:r>
        <w:fldChar w:fldCharType="separate"/>
      </w:r>
      <w:r>
        <w:rPr>
          <w:rFonts w:hint="eastAsia" w:ascii="仿宋" w:hAnsi="仿宋" w:eastAsia="仿宋" w:cs="仿宋"/>
          <w:sz w:val="28"/>
          <w:szCs w:val="28"/>
        </w:rPr>
        <w:t>三、竞赛内容</w:t>
      </w:r>
      <w:r>
        <w:rPr>
          <w:sz w:val="28"/>
          <w:szCs w:val="28"/>
        </w:rPr>
        <w:tab/>
      </w:r>
      <w:r>
        <w:rPr>
          <w:sz w:val="28"/>
          <w:szCs w:val="28"/>
        </w:rPr>
        <w:fldChar w:fldCharType="begin"/>
      </w:r>
      <w:r>
        <w:rPr>
          <w:sz w:val="28"/>
          <w:szCs w:val="28"/>
        </w:rPr>
        <w:instrText xml:space="preserve"> PAGEREF _Toc511009542 \h </w:instrText>
      </w:r>
      <w:r>
        <w:rPr>
          <w:sz w:val="28"/>
          <w:szCs w:val="28"/>
        </w:rPr>
        <w:fldChar w:fldCharType="separate"/>
      </w:r>
      <w:r>
        <w:rPr>
          <w:sz w:val="28"/>
          <w:szCs w:val="28"/>
        </w:rPr>
        <w:t>2</w:t>
      </w:r>
      <w:r>
        <w:rPr>
          <w:sz w:val="28"/>
          <w:szCs w:val="28"/>
        </w:rPr>
        <w:fldChar w:fldCharType="end"/>
      </w:r>
      <w:r>
        <w:rPr>
          <w:sz w:val="28"/>
          <w:szCs w:val="28"/>
        </w:rPr>
        <w:fldChar w:fldCharType="end"/>
      </w:r>
    </w:p>
    <w:p w14:paraId="6F987BDE">
      <w:pPr>
        <w:pStyle w:val="25"/>
        <w:tabs>
          <w:tab w:val="right" w:leader="dot" w:pos="8504"/>
        </w:tabs>
        <w:spacing w:before="0" w:after="0" w:line="540" w:lineRule="exact"/>
        <w:rPr>
          <w:sz w:val="28"/>
          <w:szCs w:val="28"/>
        </w:rPr>
      </w:pPr>
      <w:r>
        <w:fldChar w:fldCharType="begin"/>
      </w:r>
      <w:r>
        <w:instrText xml:space="preserve"> HYPERLINK \l "_Toc750268041" </w:instrText>
      </w:r>
      <w:r>
        <w:fldChar w:fldCharType="separate"/>
      </w:r>
      <w:r>
        <w:rPr>
          <w:rFonts w:hint="eastAsia" w:ascii="仿宋" w:hAnsi="仿宋" w:eastAsia="仿宋" w:cs="仿宋"/>
          <w:bCs/>
          <w:sz w:val="28"/>
          <w:szCs w:val="28"/>
          <w:lang w:bidi="ar"/>
        </w:rPr>
        <w:t>四、竞赛方式</w:t>
      </w:r>
      <w:r>
        <w:rPr>
          <w:sz w:val="28"/>
          <w:szCs w:val="28"/>
        </w:rPr>
        <w:tab/>
      </w:r>
      <w:r>
        <w:rPr>
          <w:sz w:val="28"/>
          <w:szCs w:val="28"/>
        </w:rPr>
        <w:fldChar w:fldCharType="begin"/>
      </w:r>
      <w:r>
        <w:rPr>
          <w:sz w:val="28"/>
          <w:szCs w:val="28"/>
        </w:rPr>
        <w:instrText xml:space="preserve"> PAGEREF _Toc750268041 \h </w:instrText>
      </w:r>
      <w:r>
        <w:rPr>
          <w:sz w:val="28"/>
          <w:szCs w:val="28"/>
        </w:rPr>
        <w:fldChar w:fldCharType="separate"/>
      </w:r>
      <w:r>
        <w:rPr>
          <w:sz w:val="28"/>
          <w:szCs w:val="28"/>
        </w:rPr>
        <w:t>3</w:t>
      </w:r>
      <w:r>
        <w:rPr>
          <w:sz w:val="28"/>
          <w:szCs w:val="28"/>
        </w:rPr>
        <w:fldChar w:fldCharType="end"/>
      </w:r>
      <w:r>
        <w:rPr>
          <w:sz w:val="28"/>
          <w:szCs w:val="28"/>
        </w:rPr>
        <w:fldChar w:fldCharType="end"/>
      </w:r>
    </w:p>
    <w:p w14:paraId="47D4F3A0">
      <w:pPr>
        <w:pStyle w:val="25"/>
        <w:tabs>
          <w:tab w:val="right" w:leader="dot" w:pos="8504"/>
        </w:tabs>
        <w:spacing w:before="0" w:after="0" w:line="540" w:lineRule="exact"/>
        <w:rPr>
          <w:sz w:val="28"/>
          <w:szCs w:val="28"/>
        </w:rPr>
      </w:pPr>
      <w:r>
        <w:fldChar w:fldCharType="begin"/>
      </w:r>
      <w:r>
        <w:instrText xml:space="preserve"> HYPERLINK \l "_Toc1878473550" </w:instrText>
      </w:r>
      <w:r>
        <w:fldChar w:fldCharType="separate"/>
      </w:r>
      <w:r>
        <w:rPr>
          <w:rFonts w:hint="eastAsia" w:ascii="仿宋" w:hAnsi="仿宋" w:eastAsia="仿宋" w:cs="仿宋"/>
          <w:bCs/>
          <w:spacing w:val="-4"/>
          <w:sz w:val="28"/>
          <w:szCs w:val="28"/>
        </w:rPr>
        <w:t>五</w:t>
      </w:r>
      <w:r>
        <w:rPr>
          <w:rFonts w:hint="eastAsia" w:ascii="仿宋" w:hAnsi="仿宋" w:eastAsia="仿宋" w:cs="仿宋"/>
          <w:bCs/>
          <w:spacing w:val="-2"/>
          <w:sz w:val="28"/>
          <w:szCs w:val="28"/>
        </w:rPr>
        <w:t>、竞赛流程</w:t>
      </w:r>
      <w:r>
        <w:rPr>
          <w:sz w:val="28"/>
          <w:szCs w:val="28"/>
        </w:rPr>
        <w:tab/>
      </w:r>
      <w:r>
        <w:rPr>
          <w:sz w:val="28"/>
          <w:szCs w:val="28"/>
        </w:rPr>
        <w:fldChar w:fldCharType="begin"/>
      </w:r>
      <w:r>
        <w:rPr>
          <w:sz w:val="28"/>
          <w:szCs w:val="28"/>
        </w:rPr>
        <w:instrText xml:space="preserve"> PAGEREF _Toc1878473550 \h </w:instrText>
      </w:r>
      <w:r>
        <w:rPr>
          <w:sz w:val="28"/>
          <w:szCs w:val="28"/>
        </w:rPr>
        <w:fldChar w:fldCharType="separate"/>
      </w:r>
      <w:r>
        <w:rPr>
          <w:sz w:val="28"/>
          <w:szCs w:val="28"/>
        </w:rPr>
        <w:t>3</w:t>
      </w:r>
      <w:r>
        <w:rPr>
          <w:sz w:val="28"/>
          <w:szCs w:val="28"/>
        </w:rPr>
        <w:fldChar w:fldCharType="end"/>
      </w:r>
      <w:r>
        <w:rPr>
          <w:sz w:val="28"/>
          <w:szCs w:val="28"/>
        </w:rPr>
        <w:fldChar w:fldCharType="end"/>
      </w:r>
    </w:p>
    <w:p w14:paraId="4F932441">
      <w:pPr>
        <w:pStyle w:val="25"/>
        <w:tabs>
          <w:tab w:val="right" w:leader="dot" w:pos="8504"/>
        </w:tabs>
        <w:spacing w:before="0" w:after="0" w:line="540" w:lineRule="exact"/>
        <w:rPr>
          <w:sz w:val="28"/>
          <w:szCs w:val="28"/>
        </w:rPr>
      </w:pPr>
      <w:r>
        <w:fldChar w:fldCharType="begin"/>
      </w:r>
      <w:r>
        <w:instrText xml:space="preserve"> HYPERLINK \l "_Toc1347860303" </w:instrText>
      </w:r>
      <w:r>
        <w:fldChar w:fldCharType="separate"/>
      </w:r>
      <w:r>
        <w:rPr>
          <w:rFonts w:hint="eastAsia" w:ascii="仿宋" w:hAnsi="仿宋" w:eastAsia="仿宋" w:cs="仿宋"/>
          <w:bCs/>
          <w:spacing w:val="-6"/>
          <w:sz w:val="28"/>
          <w:szCs w:val="28"/>
          <w:lang w:eastAsia="zh-Hans"/>
        </w:rPr>
        <w:t>竞赛日程表</w:t>
      </w:r>
      <w:r>
        <w:rPr>
          <w:sz w:val="28"/>
          <w:szCs w:val="28"/>
        </w:rPr>
        <w:tab/>
      </w:r>
      <w:r>
        <w:rPr>
          <w:sz w:val="28"/>
          <w:szCs w:val="28"/>
        </w:rPr>
        <w:fldChar w:fldCharType="begin"/>
      </w:r>
      <w:r>
        <w:rPr>
          <w:sz w:val="28"/>
          <w:szCs w:val="28"/>
        </w:rPr>
        <w:instrText xml:space="preserve"> PAGEREF _Toc1347860303 \h </w:instrText>
      </w:r>
      <w:r>
        <w:rPr>
          <w:sz w:val="28"/>
          <w:szCs w:val="28"/>
        </w:rPr>
        <w:fldChar w:fldCharType="separate"/>
      </w:r>
      <w:r>
        <w:rPr>
          <w:sz w:val="28"/>
          <w:szCs w:val="28"/>
        </w:rPr>
        <w:t>4</w:t>
      </w:r>
      <w:r>
        <w:rPr>
          <w:sz w:val="28"/>
          <w:szCs w:val="28"/>
        </w:rPr>
        <w:fldChar w:fldCharType="end"/>
      </w:r>
      <w:r>
        <w:rPr>
          <w:sz w:val="28"/>
          <w:szCs w:val="28"/>
        </w:rPr>
        <w:fldChar w:fldCharType="end"/>
      </w:r>
    </w:p>
    <w:p w14:paraId="5AE2B75D">
      <w:pPr>
        <w:pStyle w:val="25"/>
        <w:tabs>
          <w:tab w:val="right" w:leader="dot" w:pos="8504"/>
        </w:tabs>
        <w:spacing w:before="0" w:after="0" w:line="540" w:lineRule="exact"/>
        <w:rPr>
          <w:sz w:val="28"/>
          <w:szCs w:val="28"/>
        </w:rPr>
      </w:pPr>
      <w:r>
        <w:fldChar w:fldCharType="begin"/>
      </w:r>
      <w:r>
        <w:instrText xml:space="preserve"> HYPERLINK \l "_Toc1830603965" </w:instrText>
      </w:r>
      <w:r>
        <w:fldChar w:fldCharType="separate"/>
      </w:r>
      <w:r>
        <w:rPr>
          <w:rFonts w:hint="eastAsia" w:ascii="仿宋" w:hAnsi="仿宋" w:eastAsia="仿宋" w:cs="仿宋"/>
          <w:bCs/>
          <w:sz w:val="28"/>
          <w:szCs w:val="28"/>
          <w:lang w:bidi="ar"/>
        </w:rPr>
        <w:t>六、竞赛赛卷</w:t>
      </w:r>
      <w:r>
        <w:rPr>
          <w:sz w:val="28"/>
          <w:szCs w:val="28"/>
        </w:rPr>
        <w:tab/>
      </w:r>
      <w:r>
        <w:rPr>
          <w:sz w:val="28"/>
          <w:szCs w:val="28"/>
        </w:rPr>
        <w:fldChar w:fldCharType="begin"/>
      </w:r>
      <w:r>
        <w:rPr>
          <w:sz w:val="28"/>
          <w:szCs w:val="28"/>
        </w:rPr>
        <w:instrText xml:space="preserve"> PAGEREF _Toc1830603965 \h </w:instrText>
      </w:r>
      <w:r>
        <w:rPr>
          <w:sz w:val="28"/>
          <w:szCs w:val="28"/>
        </w:rPr>
        <w:fldChar w:fldCharType="separate"/>
      </w:r>
      <w:r>
        <w:rPr>
          <w:sz w:val="28"/>
          <w:szCs w:val="28"/>
        </w:rPr>
        <w:t>5</w:t>
      </w:r>
      <w:r>
        <w:rPr>
          <w:sz w:val="28"/>
          <w:szCs w:val="28"/>
        </w:rPr>
        <w:fldChar w:fldCharType="end"/>
      </w:r>
      <w:r>
        <w:rPr>
          <w:sz w:val="28"/>
          <w:szCs w:val="28"/>
        </w:rPr>
        <w:fldChar w:fldCharType="end"/>
      </w:r>
    </w:p>
    <w:p w14:paraId="46A15E40">
      <w:pPr>
        <w:pStyle w:val="25"/>
        <w:tabs>
          <w:tab w:val="right" w:leader="dot" w:pos="8504"/>
        </w:tabs>
        <w:spacing w:before="0" w:after="0" w:line="540" w:lineRule="exact"/>
        <w:rPr>
          <w:sz w:val="28"/>
          <w:szCs w:val="28"/>
        </w:rPr>
      </w:pPr>
      <w:r>
        <w:fldChar w:fldCharType="begin"/>
      </w:r>
      <w:r>
        <w:instrText xml:space="preserve"> HYPERLINK \l "_Toc2110112833" </w:instrText>
      </w:r>
      <w:r>
        <w:fldChar w:fldCharType="separate"/>
      </w:r>
      <w:r>
        <w:rPr>
          <w:rFonts w:hint="eastAsia" w:ascii="仿宋" w:hAnsi="仿宋" w:eastAsia="仿宋" w:cs="仿宋"/>
          <w:bCs/>
          <w:sz w:val="28"/>
          <w:szCs w:val="28"/>
          <w:lang w:bidi="ar"/>
        </w:rPr>
        <w:t>七、竞赛规则</w:t>
      </w:r>
      <w:r>
        <w:rPr>
          <w:sz w:val="28"/>
          <w:szCs w:val="28"/>
        </w:rPr>
        <w:tab/>
      </w:r>
      <w:r>
        <w:rPr>
          <w:sz w:val="28"/>
          <w:szCs w:val="28"/>
        </w:rPr>
        <w:fldChar w:fldCharType="begin"/>
      </w:r>
      <w:r>
        <w:rPr>
          <w:sz w:val="28"/>
          <w:szCs w:val="28"/>
        </w:rPr>
        <w:instrText xml:space="preserve"> PAGEREF _Toc2110112833 \h </w:instrText>
      </w:r>
      <w:r>
        <w:rPr>
          <w:sz w:val="28"/>
          <w:szCs w:val="28"/>
        </w:rPr>
        <w:fldChar w:fldCharType="separate"/>
      </w:r>
      <w:r>
        <w:rPr>
          <w:sz w:val="28"/>
          <w:szCs w:val="28"/>
        </w:rPr>
        <w:t>12</w:t>
      </w:r>
      <w:r>
        <w:rPr>
          <w:sz w:val="28"/>
          <w:szCs w:val="28"/>
        </w:rPr>
        <w:fldChar w:fldCharType="end"/>
      </w:r>
      <w:r>
        <w:rPr>
          <w:sz w:val="28"/>
          <w:szCs w:val="28"/>
        </w:rPr>
        <w:fldChar w:fldCharType="end"/>
      </w:r>
    </w:p>
    <w:p w14:paraId="37A99391">
      <w:pPr>
        <w:pStyle w:val="25"/>
        <w:tabs>
          <w:tab w:val="right" w:leader="dot" w:pos="8504"/>
        </w:tabs>
        <w:spacing w:before="0" w:after="0" w:line="540" w:lineRule="exact"/>
        <w:rPr>
          <w:sz w:val="28"/>
          <w:szCs w:val="28"/>
        </w:rPr>
      </w:pPr>
      <w:r>
        <w:fldChar w:fldCharType="begin"/>
      </w:r>
      <w:r>
        <w:instrText xml:space="preserve"> HYPERLINK \l "_Toc1121437673" </w:instrText>
      </w:r>
      <w:r>
        <w:fldChar w:fldCharType="separate"/>
      </w:r>
      <w:r>
        <w:rPr>
          <w:rFonts w:hint="eastAsia" w:ascii="仿宋" w:hAnsi="仿宋" w:eastAsia="仿宋" w:cs="仿宋"/>
          <w:bCs/>
          <w:sz w:val="28"/>
          <w:szCs w:val="28"/>
          <w:lang w:bidi="ar"/>
        </w:rPr>
        <w:t>八、竞赛环境</w:t>
      </w:r>
      <w:r>
        <w:rPr>
          <w:sz w:val="28"/>
          <w:szCs w:val="28"/>
        </w:rPr>
        <w:tab/>
      </w:r>
      <w:r>
        <w:rPr>
          <w:sz w:val="28"/>
          <w:szCs w:val="28"/>
        </w:rPr>
        <w:fldChar w:fldCharType="begin"/>
      </w:r>
      <w:r>
        <w:rPr>
          <w:sz w:val="28"/>
          <w:szCs w:val="28"/>
        </w:rPr>
        <w:instrText xml:space="preserve"> PAGEREF _Toc1121437673 \h </w:instrText>
      </w:r>
      <w:r>
        <w:rPr>
          <w:sz w:val="28"/>
          <w:szCs w:val="28"/>
        </w:rPr>
        <w:fldChar w:fldCharType="separate"/>
      </w:r>
      <w:r>
        <w:rPr>
          <w:sz w:val="28"/>
          <w:szCs w:val="28"/>
        </w:rPr>
        <w:t>14</w:t>
      </w:r>
      <w:r>
        <w:rPr>
          <w:sz w:val="28"/>
          <w:szCs w:val="28"/>
        </w:rPr>
        <w:fldChar w:fldCharType="end"/>
      </w:r>
      <w:r>
        <w:rPr>
          <w:sz w:val="28"/>
          <w:szCs w:val="28"/>
        </w:rPr>
        <w:fldChar w:fldCharType="end"/>
      </w:r>
    </w:p>
    <w:p w14:paraId="7F8F051A">
      <w:pPr>
        <w:pStyle w:val="25"/>
        <w:tabs>
          <w:tab w:val="right" w:leader="dot" w:pos="8504"/>
        </w:tabs>
        <w:spacing w:before="0" w:after="0" w:line="540" w:lineRule="exact"/>
        <w:rPr>
          <w:sz w:val="28"/>
          <w:szCs w:val="28"/>
        </w:rPr>
      </w:pPr>
      <w:r>
        <w:fldChar w:fldCharType="begin"/>
      </w:r>
      <w:r>
        <w:instrText xml:space="preserve"> HYPERLINK \l "_Toc1686484039" </w:instrText>
      </w:r>
      <w:r>
        <w:fldChar w:fldCharType="separate"/>
      </w:r>
      <w:r>
        <w:rPr>
          <w:rFonts w:hint="eastAsia" w:ascii="仿宋" w:hAnsi="仿宋" w:eastAsia="仿宋" w:cs="仿宋"/>
          <w:bCs/>
          <w:sz w:val="28"/>
          <w:szCs w:val="28"/>
          <w:lang w:bidi="ar"/>
        </w:rPr>
        <w:t>九、技术规范</w:t>
      </w:r>
      <w:r>
        <w:rPr>
          <w:sz w:val="28"/>
          <w:szCs w:val="28"/>
        </w:rPr>
        <w:tab/>
      </w:r>
      <w:r>
        <w:rPr>
          <w:sz w:val="28"/>
          <w:szCs w:val="28"/>
        </w:rPr>
        <w:fldChar w:fldCharType="begin"/>
      </w:r>
      <w:r>
        <w:rPr>
          <w:sz w:val="28"/>
          <w:szCs w:val="28"/>
        </w:rPr>
        <w:instrText xml:space="preserve"> PAGEREF _Toc1686484039 \h </w:instrText>
      </w:r>
      <w:r>
        <w:rPr>
          <w:sz w:val="28"/>
          <w:szCs w:val="28"/>
        </w:rPr>
        <w:fldChar w:fldCharType="separate"/>
      </w:r>
      <w:r>
        <w:rPr>
          <w:sz w:val="28"/>
          <w:szCs w:val="28"/>
        </w:rPr>
        <w:t>15</w:t>
      </w:r>
      <w:r>
        <w:rPr>
          <w:sz w:val="28"/>
          <w:szCs w:val="28"/>
        </w:rPr>
        <w:fldChar w:fldCharType="end"/>
      </w:r>
      <w:r>
        <w:rPr>
          <w:sz w:val="28"/>
          <w:szCs w:val="28"/>
        </w:rPr>
        <w:fldChar w:fldCharType="end"/>
      </w:r>
    </w:p>
    <w:p w14:paraId="2CC3B813">
      <w:pPr>
        <w:pStyle w:val="25"/>
        <w:tabs>
          <w:tab w:val="right" w:leader="dot" w:pos="8504"/>
        </w:tabs>
        <w:spacing w:before="0" w:after="0" w:line="540" w:lineRule="exact"/>
        <w:rPr>
          <w:sz w:val="28"/>
          <w:szCs w:val="28"/>
        </w:rPr>
      </w:pPr>
      <w:r>
        <w:fldChar w:fldCharType="begin"/>
      </w:r>
      <w:r>
        <w:instrText xml:space="preserve"> HYPERLINK \l "_Toc100586720" </w:instrText>
      </w:r>
      <w:r>
        <w:fldChar w:fldCharType="separate"/>
      </w:r>
      <w:r>
        <w:rPr>
          <w:rFonts w:hint="eastAsia" w:ascii="仿宋" w:hAnsi="仿宋" w:eastAsia="仿宋" w:cs="仿宋"/>
          <w:bCs/>
          <w:sz w:val="28"/>
          <w:szCs w:val="28"/>
          <w:lang w:bidi="ar"/>
        </w:rPr>
        <w:t>十、技术平台</w:t>
      </w:r>
      <w:r>
        <w:rPr>
          <w:sz w:val="28"/>
          <w:szCs w:val="28"/>
        </w:rPr>
        <w:tab/>
      </w:r>
      <w:r>
        <w:rPr>
          <w:sz w:val="28"/>
          <w:szCs w:val="28"/>
        </w:rPr>
        <w:fldChar w:fldCharType="begin"/>
      </w:r>
      <w:r>
        <w:rPr>
          <w:sz w:val="28"/>
          <w:szCs w:val="28"/>
        </w:rPr>
        <w:instrText xml:space="preserve"> PAGEREF _Toc100586720 \h </w:instrText>
      </w:r>
      <w:r>
        <w:rPr>
          <w:sz w:val="28"/>
          <w:szCs w:val="28"/>
        </w:rPr>
        <w:fldChar w:fldCharType="separate"/>
      </w:r>
      <w:r>
        <w:rPr>
          <w:sz w:val="28"/>
          <w:szCs w:val="28"/>
        </w:rPr>
        <w:t>15</w:t>
      </w:r>
      <w:r>
        <w:rPr>
          <w:sz w:val="28"/>
          <w:szCs w:val="28"/>
        </w:rPr>
        <w:fldChar w:fldCharType="end"/>
      </w:r>
      <w:r>
        <w:rPr>
          <w:sz w:val="28"/>
          <w:szCs w:val="28"/>
        </w:rPr>
        <w:fldChar w:fldCharType="end"/>
      </w:r>
    </w:p>
    <w:p w14:paraId="6B796DAB">
      <w:pPr>
        <w:pStyle w:val="25"/>
        <w:tabs>
          <w:tab w:val="right" w:leader="dot" w:pos="8504"/>
        </w:tabs>
        <w:spacing w:before="0" w:after="0" w:line="540" w:lineRule="exact"/>
        <w:rPr>
          <w:sz w:val="28"/>
          <w:szCs w:val="28"/>
        </w:rPr>
      </w:pPr>
      <w:r>
        <w:fldChar w:fldCharType="begin"/>
      </w:r>
      <w:r>
        <w:instrText xml:space="preserve"> HYPERLINK \l "_Toc1428884042" </w:instrText>
      </w:r>
      <w:r>
        <w:fldChar w:fldCharType="separate"/>
      </w:r>
      <w:r>
        <w:rPr>
          <w:rFonts w:hint="eastAsia" w:ascii="仿宋" w:hAnsi="仿宋" w:eastAsia="仿宋" w:cs="仿宋"/>
          <w:bCs/>
          <w:sz w:val="28"/>
          <w:szCs w:val="28"/>
          <w:lang w:bidi="ar"/>
        </w:rPr>
        <w:t>十一、成绩评定</w:t>
      </w:r>
      <w:r>
        <w:rPr>
          <w:sz w:val="28"/>
          <w:szCs w:val="28"/>
        </w:rPr>
        <w:tab/>
      </w:r>
      <w:r>
        <w:rPr>
          <w:sz w:val="28"/>
          <w:szCs w:val="28"/>
        </w:rPr>
        <w:fldChar w:fldCharType="begin"/>
      </w:r>
      <w:r>
        <w:rPr>
          <w:sz w:val="28"/>
          <w:szCs w:val="28"/>
        </w:rPr>
        <w:instrText xml:space="preserve"> PAGEREF _Toc1428884042 \h </w:instrText>
      </w:r>
      <w:r>
        <w:rPr>
          <w:sz w:val="28"/>
          <w:szCs w:val="28"/>
        </w:rPr>
        <w:fldChar w:fldCharType="separate"/>
      </w:r>
      <w:r>
        <w:rPr>
          <w:sz w:val="28"/>
          <w:szCs w:val="28"/>
        </w:rPr>
        <w:t>21</w:t>
      </w:r>
      <w:r>
        <w:rPr>
          <w:sz w:val="28"/>
          <w:szCs w:val="28"/>
        </w:rPr>
        <w:fldChar w:fldCharType="end"/>
      </w:r>
      <w:r>
        <w:rPr>
          <w:sz w:val="28"/>
          <w:szCs w:val="28"/>
        </w:rPr>
        <w:fldChar w:fldCharType="end"/>
      </w:r>
    </w:p>
    <w:p w14:paraId="2C711EE0">
      <w:pPr>
        <w:pStyle w:val="25"/>
        <w:tabs>
          <w:tab w:val="right" w:leader="dot" w:pos="8504"/>
        </w:tabs>
        <w:spacing w:before="0" w:after="0" w:line="540" w:lineRule="exact"/>
        <w:rPr>
          <w:sz w:val="28"/>
          <w:szCs w:val="28"/>
        </w:rPr>
      </w:pPr>
      <w:r>
        <w:fldChar w:fldCharType="begin"/>
      </w:r>
      <w:r>
        <w:instrText xml:space="preserve"> HYPERLINK \l "_Toc787292098" </w:instrText>
      </w:r>
      <w:r>
        <w:fldChar w:fldCharType="separate"/>
      </w:r>
      <w:r>
        <w:rPr>
          <w:rFonts w:hint="eastAsia" w:ascii="仿宋" w:hAnsi="仿宋" w:eastAsia="仿宋" w:cs="仿宋"/>
          <w:bCs/>
          <w:sz w:val="28"/>
          <w:szCs w:val="28"/>
          <w:lang w:bidi="ar"/>
        </w:rPr>
        <w:t>十二、奖项设定</w:t>
      </w:r>
      <w:r>
        <w:rPr>
          <w:sz w:val="28"/>
          <w:szCs w:val="28"/>
        </w:rPr>
        <w:tab/>
      </w:r>
      <w:r>
        <w:rPr>
          <w:sz w:val="28"/>
          <w:szCs w:val="28"/>
        </w:rPr>
        <w:fldChar w:fldCharType="begin"/>
      </w:r>
      <w:r>
        <w:rPr>
          <w:sz w:val="28"/>
          <w:szCs w:val="28"/>
        </w:rPr>
        <w:instrText xml:space="preserve"> PAGEREF _Toc787292098 \h </w:instrText>
      </w:r>
      <w:r>
        <w:rPr>
          <w:sz w:val="28"/>
          <w:szCs w:val="28"/>
        </w:rPr>
        <w:fldChar w:fldCharType="separate"/>
      </w:r>
      <w:r>
        <w:rPr>
          <w:sz w:val="28"/>
          <w:szCs w:val="28"/>
        </w:rPr>
        <w:t>27</w:t>
      </w:r>
      <w:r>
        <w:rPr>
          <w:sz w:val="28"/>
          <w:szCs w:val="28"/>
        </w:rPr>
        <w:fldChar w:fldCharType="end"/>
      </w:r>
      <w:r>
        <w:rPr>
          <w:sz w:val="28"/>
          <w:szCs w:val="28"/>
        </w:rPr>
        <w:fldChar w:fldCharType="end"/>
      </w:r>
    </w:p>
    <w:p w14:paraId="0ABA44A1">
      <w:pPr>
        <w:pStyle w:val="25"/>
        <w:tabs>
          <w:tab w:val="right" w:leader="dot" w:pos="8504"/>
        </w:tabs>
        <w:spacing w:before="0" w:after="0" w:line="540" w:lineRule="exact"/>
        <w:rPr>
          <w:sz w:val="28"/>
          <w:szCs w:val="28"/>
        </w:rPr>
      </w:pPr>
      <w:r>
        <w:fldChar w:fldCharType="begin"/>
      </w:r>
      <w:r>
        <w:instrText xml:space="preserve"> HYPERLINK \l "_Toc1371541919" </w:instrText>
      </w:r>
      <w:r>
        <w:fldChar w:fldCharType="separate"/>
      </w:r>
      <w:r>
        <w:rPr>
          <w:rFonts w:hint="eastAsia" w:ascii="仿宋" w:hAnsi="仿宋" w:eastAsia="仿宋" w:cs="仿宋"/>
          <w:bCs/>
          <w:sz w:val="28"/>
          <w:szCs w:val="28"/>
          <w:lang w:bidi="ar"/>
        </w:rPr>
        <w:t>十三、赛场预案</w:t>
      </w:r>
      <w:r>
        <w:rPr>
          <w:sz w:val="28"/>
          <w:szCs w:val="28"/>
        </w:rPr>
        <w:tab/>
      </w:r>
      <w:r>
        <w:rPr>
          <w:sz w:val="28"/>
          <w:szCs w:val="28"/>
        </w:rPr>
        <w:fldChar w:fldCharType="begin"/>
      </w:r>
      <w:r>
        <w:rPr>
          <w:sz w:val="28"/>
          <w:szCs w:val="28"/>
        </w:rPr>
        <w:instrText xml:space="preserve"> PAGEREF _Toc1371541919 \h </w:instrText>
      </w:r>
      <w:r>
        <w:rPr>
          <w:sz w:val="28"/>
          <w:szCs w:val="28"/>
        </w:rPr>
        <w:fldChar w:fldCharType="separate"/>
      </w:r>
      <w:r>
        <w:rPr>
          <w:sz w:val="28"/>
          <w:szCs w:val="28"/>
        </w:rPr>
        <w:t>27</w:t>
      </w:r>
      <w:r>
        <w:rPr>
          <w:sz w:val="28"/>
          <w:szCs w:val="28"/>
        </w:rPr>
        <w:fldChar w:fldCharType="end"/>
      </w:r>
      <w:r>
        <w:rPr>
          <w:sz w:val="28"/>
          <w:szCs w:val="28"/>
        </w:rPr>
        <w:fldChar w:fldCharType="end"/>
      </w:r>
    </w:p>
    <w:p w14:paraId="26E79262">
      <w:pPr>
        <w:pStyle w:val="25"/>
        <w:tabs>
          <w:tab w:val="right" w:leader="dot" w:pos="8504"/>
        </w:tabs>
        <w:spacing w:before="0" w:after="0" w:line="540" w:lineRule="exact"/>
        <w:rPr>
          <w:sz w:val="28"/>
          <w:szCs w:val="28"/>
        </w:rPr>
      </w:pPr>
      <w:r>
        <w:fldChar w:fldCharType="begin"/>
      </w:r>
      <w:r>
        <w:instrText xml:space="preserve"> HYPERLINK \l "_Toc415565735" </w:instrText>
      </w:r>
      <w:r>
        <w:fldChar w:fldCharType="separate"/>
      </w:r>
      <w:r>
        <w:rPr>
          <w:rFonts w:hint="eastAsia" w:ascii="仿宋" w:hAnsi="仿宋" w:eastAsia="仿宋" w:cs="仿宋"/>
          <w:bCs/>
          <w:sz w:val="28"/>
          <w:szCs w:val="28"/>
          <w:lang w:bidi="ar"/>
        </w:rPr>
        <w:t>十四、赛项安全</w:t>
      </w:r>
      <w:r>
        <w:rPr>
          <w:sz w:val="28"/>
          <w:szCs w:val="28"/>
        </w:rPr>
        <w:tab/>
      </w:r>
      <w:r>
        <w:rPr>
          <w:sz w:val="28"/>
          <w:szCs w:val="28"/>
        </w:rPr>
        <w:fldChar w:fldCharType="begin"/>
      </w:r>
      <w:r>
        <w:rPr>
          <w:sz w:val="28"/>
          <w:szCs w:val="28"/>
        </w:rPr>
        <w:instrText xml:space="preserve"> PAGEREF _Toc415565735 \h </w:instrText>
      </w:r>
      <w:r>
        <w:rPr>
          <w:sz w:val="28"/>
          <w:szCs w:val="28"/>
        </w:rPr>
        <w:fldChar w:fldCharType="separate"/>
      </w:r>
      <w:r>
        <w:rPr>
          <w:sz w:val="28"/>
          <w:szCs w:val="28"/>
        </w:rPr>
        <w:t>28</w:t>
      </w:r>
      <w:r>
        <w:rPr>
          <w:sz w:val="28"/>
          <w:szCs w:val="28"/>
        </w:rPr>
        <w:fldChar w:fldCharType="end"/>
      </w:r>
      <w:r>
        <w:rPr>
          <w:sz w:val="28"/>
          <w:szCs w:val="28"/>
        </w:rPr>
        <w:fldChar w:fldCharType="end"/>
      </w:r>
    </w:p>
    <w:p w14:paraId="1CE76E6E">
      <w:pPr>
        <w:pStyle w:val="25"/>
        <w:tabs>
          <w:tab w:val="right" w:leader="dot" w:pos="8504"/>
        </w:tabs>
        <w:spacing w:before="0" w:after="0" w:line="540" w:lineRule="exact"/>
        <w:rPr>
          <w:sz w:val="28"/>
          <w:szCs w:val="28"/>
        </w:rPr>
      </w:pPr>
      <w:r>
        <w:fldChar w:fldCharType="begin"/>
      </w:r>
      <w:r>
        <w:instrText xml:space="preserve"> HYPERLINK \l "_Toc796488101" </w:instrText>
      </w:r>
      <w:r>
        <w:fldChar w:fldCharType="separate"/>
      </w:r>
      <w:r>
        <w:rPr>
          <w:rFonts w:hint="eastAsia" w:ascii="仿宋" w:hAnsi="仿宋" w:eastAsia="仿宋" w:cs="仿宋"/>
          <w:sz w:val="28"/>
          <w:szCs w:val="28"/>
          <w:lang w:eastAsia="zh-Hans"/>
        </w:rPr>
        <w:t>十五、</w:t>
      </w:r>
      <w:r>
        <w:rPr>
          <w:rFonts w:hint="eastAsia" w:ascii="仿宋" w:hAnsi="仿宋" w:eastAsia="仿宋" w:cs="仿宋"/>
          <w:sz w:val="28"/>
          <w:szCs w:val="28"/>
        </w:rPr>
        <w:t>赛项须知</w:t>
      </w:r>
      <w:r>
        <w:rPr>
          <w:sz w:val="28"/>
          <w:szCs w:val="28"/>
        </w:rPr>
        <w:tab/>
      </w:r>
      <w:r>
        <w:rPr>
          <w:sz w:val="28"/>
          <w:szCs w:val="28"/>
        </w:rPr>
        <w:fldChar w:fldCharType="begin"/>
      </w:r>
      <w:r>
        <w:rPr>
          <w:sz w:val="28"/>
          <w:szCs w:val="28"/>
        </w:rPr>
        <w:instrText xml:space="preserve"> PAGEREF _Toc796488101 \h </w:instrText>
      </w:r>
      <w:r>
        <w:rPr>
          <w:sz w:val="28"/>
          <w:szCs w:val="28"/>
        </w:rPr>
        <w:fldChar w:fldCharType="separate"/>
      </w:r>
      <w:r>
        <w:rPr>
          <w:sz w:val="28"/>
          <w:szCs w:val="28"/>
        </w:rPr>
        <w:t>32</w:t>
      </w:r>
      <w:r>
        <w:rPr>
          <w:sz w:val="28"/>
          <w:szCs w:val="28"/>
        </w:rPr>
        <w:fldChar w:fldCharType="end"/>
      </w:r>
      <w:r>
        <w:rPr>
          <w:sz w:val="28"/>
          <w:szCs w:val="28"/>
        </w:rPr>
        <w:fldChar w:fldCharType="end"/>
      </w:r>
    </w:p>
    <w:p w14:paraId="7584279B">
      <w:pPr>
        <w:pStyle w:val="25"/>
        <w:tabs>
          <w:tab w:val="right" w:leader="dot" w:pos="8504"/>
        </w:tabs>
        <w:spacing w:before="0" w:after="0" w:line="540" w:lineRule="exact"/>
        <w:rPr>
          <w:sz w:val="28"/>
          <w:szCs w:val="28"/>
        </w:rPr>
      </w:pPr>
      <w:r>
        <w:fldChar w:fldCharType="begin"/>
      </w:r>
      <w:r>
        <w:instrText xml:space="preserve"> HYPERLINK \l "_Toc1309941756" </w:instrText>
      </w:r>
      <w:r>
        <w:fldChar w:fldCharType="separate"/>
      </w:r>
      <w:r>
        <w:rPr>
          <w:rFonts w:hint="eastAsia" w:ascii="仿宋" w:hAnsi="仿宋" w:eastAsia="仿宋" w:cs="仿宋"/>
          <w:bCs/>
          <w:sz w:val="28"/>
          <w:szCs w:val="28"/>
        </w:rPr>
        <w:t>十六、申诉与仲裁</w:t>
      </w:r>
      <w:r>
        <w:rPr>
          <w:sz w:val="28"/>
          <w:szCs w:val="28"/>
        </w:rPr>
        <w:tab/>
      </w:r>
      <w:r>
        <w:rPr>
          <w:sz w:val="28"/>
          <w:szCs w:val="28"/>
        </w:rPr>
        <w:fldChar w:fldCharType="begin"/>
      </w:r>
      <w:r>
        <w:rPr>
          <w:sz w:val="28"/>
          <w:szCs w:val="28"/>
        </w:rPr>
        <w:instrText xml:space="preserve"> PAGEREF _Toc1309941756 \h </w:instrText>
      </w:r>
      <w:r>
        <w:rPr>
          <w:sz w:val="28"/>
          <w:szCs w:val="28"/>
        </w:rPr>
        <w:fldChar w:fldCharType="separate"/>
      </w:r>
      <w:r>
        <w:rPr>
          <w:sz w:val="28"/>
          <w:szCs w:val="28"/>
        </w:rPr>
        <w:t>34</w:t>
      </w:r>
      <w:r>
        <w:rPr>
          <w:sz w:val="28"/>
          <w:szCs w:val="28"/>
        </w:rPr>
        <w:fldChar w:fldCharType="end"/>
      </w:r>
      <w:r>
        <w:rPr>
          <w:sz w:val="28"/>
          <w:szCs w:val="28"/>
        </w:rPr>
        <w:fldChar w:fldCharType="end"/>
      </w:r>
    </w:p>
    <w:p w14:paraId="69F0679B">
      <w:pPr>
        <w:pStyle w:val="25"/>
        <w:tabs>
          <w:tab w:val="right" w:leader="dot" w:pos="8504"/>
        </w:tabs>
        <w:spacing w:before="0" w:after="0" w:line="540" w:lineRule="exact"/>
        <w:rPr>
          <w:sz w:val="28"/>
          <w:szCs w:val="28"/>
        </w:rPr>
      </w:pPr>
      <w:r>
        <w:fldChar w:fldCharType="begin"/>
      </w:r>
      <w:r>
        <w:instrText xml:space="preserve"> HYPERLINK \l "_Toc188744048" </w:instrText>
      </w:r>
      <w:r>
        <w:fldChar w:fldCharType="separate"/>
      </w:r>
      <w:r>
        <w:rPr>
          <w:rFonts w:hint="eastAsia" w:ascii="仿宋" w:hAnsi="仿宋" w:eastAsia="仿宋" w:cs="仿宋"/>
          <w:bCs/>
          <w:sz w:val="28"/>
          <w:szCs w:val="28"/>
          <w:lang w:bidi="ar"/>
        </w:rPr>
        <w:t>十</w:t>
      </w:r>
      <w:r>
        <w:rPr>
          <w:rFonts w:hint="eastAsia" w:ascii="仿宋" w:hAnsi="仿宋" w:eastAsia="仿宋" w:cs="仿宋"/>
          <w:bCs/>
          <w:sz w:val="28"/>
          <w:szCs w:val="28"/>
          <w:lang w:eastAsia="zh-Hans" w:bidi="ar"/>
        </w:rPr>
        <w:t>七</w:t>
      </w:r>
      <w:r>
        <w:rPr>
          <w:rFonts w:hint="eastAsia" w:ascii="仿宋" w:hAnsi="仿宋" w:eastAsia="仿宋" w:cs="仿宋"/>
          <w:bCs/>
          <w:sz w:val="28"/>
          <w:szCs w:val="28"/>
          <w:lang w:bidi="ar"/>
        </w:rPr>
        <w:t>、资源转化</w:t>
      </w:r>
      <w:r>
        <w:rPr>
          <w:sz w:val="28"/>
          <w:szCs w:val="28"/>
        </w:rPr>
        <w:tab/>
      </w:r>
      <w:r>
        <w:rPr>
          <w:sz w:val="28"/>
          <w:szCs w:val="28"/>
        </w:rPr>
        <w:fldChar w:fldCharType="begin"/>
      </w:r>
      <w:r>
        <w:rPr>
          <w:sz w:val="28"/>
          <w:szCs w:val="28"/>
        </w:rPr>
        <w:instrText xml:space="preserve"> PAGEREF _Toc188744048 \h </w:instrText>
      </w:r>
      <w:r>
        <w:rPr>
          <w:sz w:val="28"/>
          <w:szCs w:val="28"/>
        </w:rPr>
        <w:fldChar w:fldCharType="separate"/>
      </w:r>
      <w:r>
        <w:rPr>
          <w:sz w:val="28"/>
          <w:szCs w:val="28"/>
        </w:rPr>
        <w:t>35</w:t>
      </w:r>
      <w:r>
        <w:rPr>
          <w:sz w:val="28"/>
          <w:szCs w:val="28"/>
        </w:rPr>
        <w:fldChar w:fldCharType="end"/>
      </w:r>
      <w:r>
        <w:rPr>
          <w:sz w:val="28"/>
          <w:szCs w:val="28"/>
        </w:rPr>
        <w:fldChar w:fldCharType="end"/>
      </w:r>
    </w:p>
    <w:p w14:paraId="46C3A0B7">
      <w:pPr>
        <w:adjustRightInd w:val="0"/>
        <w:snapToGrid w:val="0"/>
        <w:spacing w:before="0" w:after="0" w:line="540" w:lineRule="exact"/>
        <w:jc w:val="center"/>
        <w:rPr>
          <w:rFonts w:hint="eastAsia" w:ascii="仿宋" w:hAnsi="仿宋" w:eastAsia="仿宋" w:cs="仿宋"/>
          <w:sz w:val="28"/>
          <w:szCs w:val="28"/>
        </w:rPr>
      </w:pPr>
      <w:r>
        <w:rPr>
          <w:rFonts w:hint="eastAsia" w:ascii="仿宋_GB2312" w:hAnsi="仿宋_GB2312" w:eastAsia="仿宋_GB2312" w:cs="仿宋_GB2312"/>
          <w:b w:val="0"/>
          <w:sz w:val="28"/>
          <w:szCs w:val="28"/>
        </w:rPr>
        <w:fldChar w:fldCharType="end"/>
      </w:r>
      <w:bookmarkStart w:id="0" w:name="_Toc111541257"/>
    </w:p>
    <w:p w14:paraId="59F96C8A">
      <w:pPr>
        <w:adjustRightInd w:val="0"/>
        <w:snapToGrid w:val="0"/>
        <w:spacing w:before="0" w:after="0" w:line="540" w:lineRule="exact"/>
        <w:jc w:val="center"/>
        <w:rPr>
          <w:rFonts w:hint="eastAsia" w:ascii="仿宋" w:hAnsi="仿宋" w:eastAsia="仿宋" w:cs="仿宋"/>
          <w:sz w:val="28"/>
          <w:szCs w:val="28"/>
        </w:rPr>
      </w:pPr>
    </w:p>
    <w:p w14:paraId="50C5BEBA">
      <w:pPr>
        <w:adjustRightInd w:val="0"/>
        <w:snapToGrid w:val="0"/>
        <w:spacing w:before="0" w:after="0" w:line="540" w:lineRule="exact"/>
        <w:jc w:val="center"/>
        <w:outlineLvl w:val="0"/>
        <w:rPr>
          <w:rFonts w:hint="eastAsia" w:ascii="仿宋" w:hAnsi="仿宋" w:eastAsia="仿宋" w:cs="仿宋"/>
          <w:b/>
          <w:sz w:val="28"/>
          <w:szCs w:val="28"/>
        </w:rPr>
        <w:sectPr>
          <w:headerReference r:id="rId3" w:type="default"/>
          <w:footerReference r:id="rId5" w:type="default"/>
          <w:headerReference r:id="rId4" w:type="even"/>
          <w:footerReference r:id="rId6" w:type="even"/>
          <w:pgSz w:w="11906" w:h="16838"/>
          <w:pgMar w:top="2098" w:right="1474" w:bottom="1984" w:left="1587" w:header="850" w:footer="992" w:gutter="0"/>
          <w:pgNumType w:fmt="upperRoman" w:start="1"/>
          <w:cols w:space="720" w:num="1"/>
          <w:docGrid w:type="lines" w:linePitch="312" w:charSpace="0"/>
        </w:sectPr>
      </w:pPr>
    </w:p>
    <w:p w14:paraId="4D32C22E">
      <w:pPr>
        <w:adjustRightInd w:val="0"/>
        <w:snapToGrid w:val="0"/>
        <w:spacing w:before="0" w:after="540" w:line="540" w:lineRule="exact"/>
        <w:ind w:left="0" w:right="0" w:firstLine="0"/>
        <w:jc w:val="center"/>
        <w:outlineLvl w:val="0"/>
        <w:rPr>
          <w:rFonts w:hint="eastAsia" w:ascii="仿宋" w:hAnsi="仿宋" w:eastAsia="仿宋" w:cs="仿宋"/>
          <w:bCs/>
          <w:sz w:val="36"/>
          <w:szCs w:val="36"/>
        </w:rPr>
      </w:pPr>
      <w:r>
        <w:rPr>
          <w:rFonts w:hint="eastAsia" w:ascii="方正小标宋简体" w:hAnsi="方正小标宋简体" w:eastAsia="方正小标宋简体" w:cs="方正小标宋简体"/>
          <w:b w:val="0"/>
          <w:sz w:val="36"/>
          <w:szCs w:val="36"/>
        </w:rPr>
        <w:t>智慧物流</w:t>
      </w:r>
      <w:bookmarkEnd w:id="0"/>
      <w:bookmarkStart w:id="1" w:name="_Toc2068166215"/>
      <w:r>
        <w:rPr>
          <w:rFonts w:hint="eastAsia" w:ascii="方正小标宋简体" w:hAnsi="方正小标宋简体" w:eastAsia="方正小标宋简体" w:cs="方正小标宋简体"/>
          <w:b w:val="0"/>
          <w:sz w:val="36"/>
          <w:szCs w:val="36"/>
        </w:rPr>
        <w:t>赛项规程</w:t>
      </w:r>
      <w:bookmarkEnd w:id="1"/>
    </w:p>
    <w:p w14:paraId="2F504C08">
      <w:pPr>
        <w:adjustRightInd w:val="0"/>
        <w:snapToGrid w:val="0"/>
        <w:spacing w:before="0" w:after="0" w:line="540" w:lineRule="exact"/>
        <w:ind w:left="0" w:right="0" w:firstLine="560"/>
        <w:jc w:val="both"/>
        <w:outlineLvl w:val="0"/>
        <w:rPr>
          <w:rFonts w:hint="eastAsia" w:ascii="仿宋" w:hAnsi="仿宋" w:eastAsia="仿宋" w:cs="仿宋"/>
          <w:sz w:val="28"/>
          <w:szCs w:val="28"/>
        </w:rPr>
      </w:pPr>
      <w:bookmarkStart w:id="2" w:name="_Toc499265163"/>
      <w:r>
        <w:rPr>
          <w:rFonts w:hint="eastAsia" w:ascii="黑体" w:hAnsi="黑体" w:eastAsia="黑体" w:cs="黑体"/>
          <w:b w:val="0"/>
          <w:sz w:val="28"/>
          <w:szCs w:val="28"/>
        </w:rPr>
        <w:t>一、竞赛项目名称</w:t>
      </w:r>
      <w:bookmarkEnd w:id="2"/>
    </w:p>
    <w:p w14:paraId="3681A945">
      <w:pPr>
        <w:adjustRightInd w:val="0"/>
        <w:snapToGrid w:val="0"/>
        <w:spacing w:before="0" w:after="0" w:line="540" w:lineRule="exact"/>
        <w:ind w:left="0" w:right="0" w:firstLine="560"/>
        <w:jc w:val="both"/>
        <w:outlineLvl w:val="0"/>
        <w:rPr>
          <w:rFonts w:hint="eastAsia" w:ascii="仿宋" w:hAnsi="仿宋" w:eastAsia="仿宋" w:cs="仿宋"/>
          <w:sz w:val="28"/>
          <w:szCs w:val="28"/>
        </w:rPr>
      </w:pPr>
      <w:r>
        <w:rPr>
          <w:rFonts w:hint="eastAsia" w:ascii="仿宋_GB2312" w:hAnsi="仿宋_GB2312" w:eastAsia="仿宋_GB2312" w:cs="仿宋_GB2312"/>
          <w:b w:val="0"/>
          <w:sz w:val="28"/>
          <w:szCs w:val="28"/>
        </w:rPr>
        <w:t>赛项名称：智慧物流</w:t>
      </w:r>
    </w:p>
    <w:p w14:paraId="27479828">
      <w:pPr>
        <w:adjustRightInd w:val="0"/>
        <w:snapToGrid w:val="0"/>
        <w:spacing w:before="0" w:after="0" w:line="540" w:lineRule="exact"/>
        <w:ind w:left="0" w:right="0" w:firstLine="560"/>
        <w:jc w:val="both"/>
        <w:outlineLvl w:val="0"/>
        <w:rPr>
          <w:rFonts w:hint="eastAsia" w:ascii="仿宋" w:hAnsi="仿宋" w:eastAsia="仿宋" w:cs="仿宋"/>
          <w:sz w:val="28"/>
          <w:szCs w:val="28"/>
        </w:rPr>
      </w:pPr>
      <w:r>
        <w:rPr>
          <w:rFonts w:hint="eastAsia" w:ascii="仿宋_GB2312" w:hAnsi="仿宋_GB2312" w:eastAsia="仿宋_GB2312" w:cs="仿宋_GB2312"/>
          <w:b w:val="0"/>
          <w:sz w:val="28"/>
          <w:szCs w:val="28"/>
        </w:rPr>
        <w:t>英文名称：Intelligent Logistics</w:t>
      </w:r>
    </w:p>
    <w:p w14:paraId="00A4F314">
      <w:pPr>
        <w:adjustRightInd w:val="0"/>
        <w:snapToGrid w:val="0"/>
        <w:spacing w:before="0" w:after="0" w:line="540" w:lineRule="exact"/>
        <w:ind w:left="0" w:right="0" w:firstLine="560"/>
        <w:jc w:val="both"/>
        <w:outlineLvl w:val="0"/>
        <w:rPr>
          <w:rFonts w:hint="eastAsia" w:ascii="仿宋" w:hAnsi="仿宋" w:eastAsia="仿宋" w:cs="仿宋"/>
          <w:sz w:val="28"/>
          <w:szCs w:val="28"/>
        </w:rPr>
      </w:pPr>
      <w:r>
        <w:rPr>
          <w:rFonts w:hint="eastAsia" w:ascii="仿宋_GB2312" w:hAnsi="仿宋_GB2312" w:eastAsia="仿宋_GB2312" w:cs="仿宋_GB2312"/>
          <w:b w:val="0"/>
          <w:sz w:val="28"/>
          <w:szCs w:val="28"/>
        </w:rPr>
        <w:t>赛项组别：高职组</w:t>
      </w:r>
    </w:p>
    <w:p w14:paraId="530DF0C0">
      <w:pPr>
        <w:adjustRightInd w:val="0"/>
        <w:snapToGrid w:val="0"/>
        <w:spacing w:before="0" w:after="0" w:line="540" w:lineRule="exact"/>
        <w:ind w:left="0" w:right="0" w:firstLine="560"/>
        <w:jc w:val="both"/>
        <w:outlineLvl w:val="0"/>
        <w:rPr>
          <w:rFonts w:hint="eastAsia" w:ascii="仿宋" w:hAnsi="仿宋" w:eastAsia="仿宋" w:cs="仿宋"/>
          <w:b/>
          <w:sz w:val="28"/>
          <w:szCs w:val="28"/>
        </w:rPr>
      </w:pPr>
      <w:r>
        <w:rPr>
          <w:rFonts w:hint="eastAsia" w:ascii="仿宋_GB2312" w:hAnsi="仿宋_GB2312" w:eastAsia="仿宋_GB2312" w:cs="仿宋_GB2312"/>
          <w:b w:val="0"/>
          <w:sz w:val="28"/>
          <w:szCs w:val="28"/>
        </w:rPr>
        <w:t xml:space="preserve">赛项归属：财经商贸大类 </w:t>
      </w:r>
      <w:bookmarkStart w:id="3" w:name="_Toc930985712"/>
    </w:p>
    <w:p w14:paraId="58D9CF37">
      <w:pPr>
        <w:adjustRightInd w:val="0"/>
        <w:snapToGrid w:val="0"/>
        <w:spacing w:before="0" w:after="0" w:line="540" w:lineRule="exact"/>
        <w:ind w:left="0" w:right="0" w:firstLine="560"/>
        <w:jc w:val="both"/>
        <w:outlineLvl w:val="0"/>
        <w:rPr>
          <w:rFonts w:hint="eastAsia" w:ascii="仿宋" w:hAnsi="仿宋" w:eastAsia="仿宋" w:cs="仿宋"/>
          <w:b/>
          <w:sz w:val="28"/>
          <w:szCs w:val="28"/>
        </w:rPr>
      </w:pPr>
      <w:r>
        <w:rPr>
          <w:rFonts w:hint="eastAsia" w:ascii="黑体" w:hAnsi="黑体" w:eastAsia="黑体" w:cs="黑体"/>
          <w:b w:val="0"/>
          <w:sz w:val="28"/>
          <w:szCs w:val="28"/>
        </w:rPr>
        <w:t>二、竞赛目的</w:t>
      </w:r>
      <w:bookmarkEnd w:id="3"/>
    </w:p>
    <w:p w14:paraId="36EF51A4">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rPr>
        <w:t>据党的二十大报告所强调的“构建高效通畅的流通体系，推动物流成本下降”，物流行业在构建新发展格局中的战略地位正日益提升。当前，中国物流业迈入智能化引领的新阶段，通过应用互联网、物联网、大数据、云计算、人工智能、区块链等新一代信息技术，正实现传统物流行业的智能化升级改造。在这一背景下，智慧物流的快速发展使得对具备相关专业能力的人才需求日益凸显。为适应这一趋势，智慧物流人才的培养应聚焦于生产物流、商贸物流等多元实际场景，注重提升学生在跨行业、跨学科和跨专业维度上的综合实践能力，以及运用数字化工具与技术的创新思维。</w:t>
      </w:r>
    </w:p>
    <w:p w14:paraId="0A844428">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rPr>
        <w:t>本赛项紧密对接海南自由贸易港建设发展战略，旨在提升赛事实施科学水平，打破传统单一技能比拼的局限，对接热带特色高效农业、航空航天、免税消费等区域重点产业，设计涵盖供应链优化、智能仓储运营、智慧物流解决方案等综合性任务，考察选手在真实产业场景中运用专业技能解决复杂问题的能力。同时，注重产教融合，引导职业院校教育内容与产业前沿技术、地方经济需求相对接，推动人才培养模式的创新。</w:t>
      </w:r>
    </w:p>
    <w:p w14:paraId="0F3770BA">
      <w:pPr>
        <w:adjustRightInd w:val="0"/>
        <w:snapToGrid w:val="0"/>
        <w:spacing w:before="0" w:after="0" w:line="540" w:lineRule="exact"/>
        <w:ind w:left="0" w:right="0" w:firstLine="560"/>
        <w:jc w:val="both"/>
        <w:outlineLvl w:val="0"/>
        <w:rPr>
          <w:rFonts w:hint="eastAsia" w:ascii="仿宋" w:hAnsi="仿宋" w:eastAsia="仿宋" w:cs="仿宋"/>
          <w:b/>
          <w:sz w:val="28"/>
          <w:szCs w:val="28"/>
        </w:rPr>
      </w:pPr>
      <w:bookmarkStart w:id="4" w:name="_Toc511009542"/>
      <w:r>
        <w:rPr>
          <w:rFonts w:hint="eastAsia" w:ascii="黑体" w:hAnsi="黑体" w:eastAsia="黑体" w:cs="黑体"/>
          <w:b w:val="0"/>
          <w:sz w:val="28"/>
          <w:szCs w:val="28"/>
        </w:rPr>
        <w:t>三、竞赛内容</w:t>
      </w:r>
      <w:bookmarkEnd w:id="4"/>
    </w:p>
    <w:p w14:paraId="5CEC39E7">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rPr>
        <w:t>赛项以智慧物流系统规划设计、仿真建模与运行为主要工作任务,包括 1+X 物流职业素养测试、智慧物流系统规划仿真与方案设计、智慧物流系统方案汇报答辩三个模块。</w:t>
      </w:r>
    </w:p>
    <w:p w14:paraId="6D7644CE">
      <w:pPr>
        <w:adjustRightInd w:val="0"/>
        <w:snapToGrid w:val="0"/>
        <w:spacing w:before="0" w:after="0" w:line="540" w:lineRule="exact"/>
        <w:ind w:left="0" w:right="0" w:firstLine="562" w:firstLineChars="200"/>
        <w:jc w:val="both"/>
        <w:rPr>
          <w:rFonts w:hint="eastAsia" w:ascii="仿宋" w:hAnsi="仿宋" w:eastAsia="仿宋" w:cs="仿宋"/>
          <w:b/>
          <w:bCs/>
          <w:sz w:val="28"/>
          <w:szCs w:val="28"/>
        </w:rPr>
      </w:pPr>
      <w:r>
        <w:rPr>
          <w:rFonts w:hint="eastAsia" w:ascii="楷体_GB2312" w:hAnsi="楷体_GB2312" w:eastAsia="楷体_GB2312" w:cs="楷体_GB2312"/>
          <w:b/>
          <w:bCs/>
          <w:sz w:val="28"/>
          <w:szCs w:val="28"/>
        </w:rPr>
        <w:t>(一)1+X 物流职业素养测试模块</w:t>
      </w:r>
    </w:p>
    <w:p w14:paraId="6D3A96A2">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rPr>
        <w:t>该模块占总分值的 10%,重点考核选手物流专业知识和对物流行业新技术、新工艺、新规范、新要求的理解和掌握情况,全面考察选手关于现代物流与供应链管理的职业能力水平和素养。</w:t>
      </w:r>
    </w:p>
    <w:p w14:paraId="7BB1B22B">
      <w:pPr>
        <w:adjustRightInd w:val="0"/>
        <w:snapToGrid w:val="0"/>
        <w:spacing w:before="0" w:after="0" w:line="540" w:lineRule="exact"/>
        <w:ind w:left="0" w:right="0" w:firstLine="562" w:firstLineChars="200"/>
        <w:jc w:val="both"/>
        <w:rPr>
          <w:rFonts w:hint="eastAsia" w:ascii="仿宋" w:hAnsi="仿宋" w:eastAsia="仿宋" w:cs="仿宋"/>
          <w:b/>
          <w:bCs/>
          <w:sz w:val="28"/>
          <w:szCs w:val="28"/>
        </w:rPr>
      </w:pPr>
      <w:r>
        <w:rPr>
          <w:rFonts w:hint="eastAsia" w:ascii="楷体_GB2312" w:hAnsi="楷体_GB2312" w:eastAsia="楷体_GB2312" w:cs="楷体_GB2312"/>
          <w:b/>
          <w:bCs/>
          <w:sz w:val="28"/>
          <w:szCs w:val="28"/>
        </w:rPr>
        <w:t>(二)智慧物流系统规划仿真与方案设计模块</w:t>
      </w:r>
    </w:p>
    <w:p w14:paraId="6B0D1C6C">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rPr>
        <w:t>该模块占总分值的60%。参赛队依据提供的背景资料和数据,完成智慧物流系统规划仿真,包括智能生产场景规划设计、智能物流功能区域布局设计、智慧物流作业环节设计、智慧物流系统仿真与优化分析;完成智慧物流系统规划仿真演示文稿的制作(该演示文稿将用于模块三汇报答辩)。</w:t>
      </w:r>
    </w:p>
    <w:p w14:paraId="71083E5D">
      <w:pPr>
        <w:adjustRightInd w:val="0"/>
        <w:snapToGrid w:val="0"/>
        <w:spacing w:before="0" w:after="0" w:line="540" w:lineRule="exact"/>
        <w:ind w:left="0" w:right="0" w:firstLine="562" w:firstLineChars="200"/>
        <w:jc w:val="both"/>
        <w:rPr>
          <w:rFonts w:hint="eastAsia" w:ascii="仿宋" w:hAnsi="仿宋" w:eastAsia="仿宋" w:cs="仿宋"/>
          <w:b/>
          <w:bCs/>
          <w:sz w:val="28"/>
          <w:szCs w:val="28"/>
        </w:rPr>
      </w:pPr>
      <w:r>
        <w:rPr>
          <w:rFonts w:hint="eastAsia" w:ascii="楷体_GB2312" w:hAnsi="楷体_GB2312" w:eastAsia="楷体_GB2312" w:cs="楷体_GB2312"/>
          <w:b/>
          <w:bCs/>
          <w:sz w:val="28"/>
          <w:szCs w:val="28"/>
        </w:rPr>
        <w:t>(三)智慧物流系统方案汇报答辩模块</w:t>
      </w:r>
    </w:p>
    <w:p w14:paraId="644D5B9C">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rPr>
        <w:t>该模块占总分值的 30%。方案汇报答辩部分,占总分值的30%。参赛队根据智慧物流系统规划仿真演示文稿,进行汇报和答辩。</w:t>
      </w:r>
    </w:p>
    <w:tbl>
      <w:tblPr>
        <w:tblStyle w:val="24"/>
        <w:tblW w:w="85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3"/>
        <w:gridCol w:w="1535"/>
        <w:gridCol w:w="3891"/>
        <w:gridCol w:w="1156"/>
        <w:gridCol w:w="854"/>
      </w:tblGrid>
      <w:tr w14:paraId="04B2D4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blHeader/>
          <w:jc w:val="center"/>
        </w:trPr>
        <w:tc>
          <w:tcPr>
            <w:tcW w:w="2628" w:type="dxa"/>
            <w:gridSpan w:val="2"/>
            <w:vAlign w:val="center"/>
          </w:tcPr>
          <w:p w14:paraId="06C06A2F">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bCs/>
                <w:snapToGrid w:val="0"/>
                <w:color w:val="000000"/>
                <w:spacing w:val="-1"/>
                <w:kern w:val="0"/>
                <w:sz w:val="24"/>
                <w:lang w:eastAsia="en-US"/>
              </w:rPr>
              <w:t>模块</w:t>
            </w:r>
          </w:p>
        </w:tc>
        <w:tc>
          <w:tcPr>
            <w:tcW w:w="3891" w:type="dxa"/>
            <w:vAlign w:val="center"/>
          </w:tcPr>
          <w:p w14:paraId="1EB63FE1">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bCs/>
                <w:snapToGrid w:val="0"/>
                <w:color w:val="000000"/>
                <w:spacing w:val="-1"/>
                <w:kern w:val="0"/>
                <w:sz w:val="24"/>
                <w:lang w:eastAsia="en-US"/>
              </w:rPr>
              <w:t>主要内容</w:t>
            </w:r>
          </w:p>
        </w:tc>
        <w:tc>
          <w:tcPr>
            <w:tcW w:w="1156" w:type="dxa"/>
            <w:vAlign w:val="center"/>
          </w:tcPr>
          <w:p w14:paraId="50BD540F">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bCs/>
                <w:snapToGrid w:val="0"/>
                <w:color w:val="000000"/>
                <w:spacing w:val="-3"/>
                <w:kern w:val="0"/>
                <w:sz w:val="24"/>
                <w:lang w:eastAsia="en-US"/>
              </w:rPr>
              <w:t>比赛时长</w:t>
            </w:r>
          </w:p>
        </w:tc>
        <w:tc>
          <w:tcPr>
            <w:tcW w:w="854" w:type="dxa"/>
            <w:vAlign w:val="center"/>
          </w:tcPr>
          <w:p w14:paraId="0A4E9B92">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bCs/>
                <w:snapToGrid w:val="0"/>
                <w:color w:val="000000"/>
                <w:spacing w:val="-1"/>
                <w:kern w:val="0"/>
                <w:sz w:val="24"/>
                <w:lang w:eastAsia="en-US"/>
              </w:rPr>
              <w:t>分值</w:t>
            </w:r>
          </w:p>
        </w:tc>
      </w:tr>
      <w:tr w14:paraId="6A3B5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jc w:val="center"/>
        </w:trPr>
        <w:tc>
          <w:tcPr>
            <w:tcW w:w="1093" w:type="dxa"/>
            <w:vAlign w:val="center"/>
          </w:tcPr>
          <w:p w14:paraId="44BAE962">
            <w:pPr>
              <w:widowControl/>
              <w:kinsoku w:val="0"/>
              <w:autoSpaceDE w:val="0"/>
              <w:autoSpaceDN w:val="0"/>
              <w:adjustRightInd w:val="0"/>
              <w:snapToGrid w:val="0"/>
              <w:spacing w:before="0" w:after="0" w:line="540" w:lineRule="exact"/>
              <w:ind w:right="0" w:firstLine="208" w:firstLineChars="100"/>
              <w:jc w:val="both"/>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bCs w:val="0"/>
                <w:snapToGrid w:val="0"/>
                <w:color w:val="000000"/>
                <w:spacing w:val="-1"/>
                <w:kern w:val="0"/>
                <w:sz w:val="21"/>
                <w:lang w:eastAsia="en-US"/>
              </w:rPr>
              <w:t>模块一</w:t>
            </w:r>
          </w:p>
        </w:tc>
        <w:tc>
          <w:tcPr>
            <w:tcW w:w="1535" w:type="dxa"/>
            <w:vAlign w:val="center"/>
          </w:tcPr>
          <w:p w14:paraId="54C1E7AA">
            <w:pPr>
              <w:widowControl/>
              <w:kinsoku w:val="0"/>
              <w:autoSpaceDE w:val="0"/>
              <w:autoSpaceDN w:val="0"/>
              <w:adjustRightInd w:val="0"/>
              <w:snapToGrid w:val="0"/>
              <w:spacing w:before="0" w:after="0" w:line="540" w:lineRule="exact"/>
              <w:ind w:left="0" w:right="0" w:firstLine="202" w:firstLineChars="100"/>
              <w:jc w:val="both"/>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4"/>
                <w:kern w:val="0"/>
                <w:sz w:val="21"/>
                <w:lang w:eastAsia="en-US"/>
              </w:rPr>
              <w:t>1+X</w:t>
            </w:r>
            <w:r>
              <w:rPr>
                <w:rFonts w:hint="eastAsia" w:ascii="宋体" w:hAnsi="宋体" w:eastAsia="宋体" w:cs="宋体"/>
                <w:b w:val="0"/>
                <w:snapToGrid w:val="0"/>
                <w:color w:val="000000"/>
                <w:spacing w:val="-15"/>
                <w:kern w:val="0"/>
                <w:sz w:val="21"/>
                <w:lang w:eastAsia="en-US"/>
              </w:rPr>
              <w:t xml:space="preserve"> </w:t>
            </w:r>
            <w:r>
              <w:rPr>
                <w:rFonts w:hint="eastAsia" w:ascii="宋体" w:hAnsi="宋体" w:eastAsia="宋体" w:cs="宋体"/>
                <w:b w:val="0"/>
                <w:snapToGrid w:val="0"/>
                <w:color w:val="000000"/>
                <w:spacing w:val="-4"/>
                <w:kern w:val="0"/>
                <w:sz w:val="21"/>
                <w:lang w:eastAsia="en-US"/>
              </w:rPr>
              <w:t>物流职</w:t>
            </w:r>
            <w:r>
              <w:rPr>
                <w:rFonts w:hint="eastAsia" w:ascii="宋体" w:hAnsi="宋体" w:eastAsia="宋体" w:cs="宋体"/>
                <w:b w:val="0"/>
                <w:snapToGrid w:val="0"/>
                <w:color w:val="000000"/>
                <w:spacing w:val="-1"/>
                <w:kern w:val="0"/>
                <w:sz w:val="21"/>
                <w:lang w:eastAsia="en-US"/>
              </w:rPr>
              <w:t>业素养测试</w:t>
            </w:r>
          </w:p>
        </w:tc>
        <w:tc>
          <w:tcPr>
            <w:tcW w:w="3891" w:type="dxa"/>
            <w:vAlign w:val="center"/>
          </w:tcPr>
          <w:p w14:paraId="2DE140EC">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1"/>
                <w:kern w:val="0"/>
                <w:sz w:val="21"/>
                <w:lang w:eastAsia="en-US"/>
              </w:rPr>
              <w:t>参赛队根据提供的赛题完成职业</w:t>
            </w:r>
            <w:r>
              <w:rPr>
                <w:rFonts w:hint="eastAsia" w:ascii="宋体" w:hAnsi="宋体" w:eastAsia="宋体" w:cs="宋体"/>
                <w:b w:val="0"/>
                <w:snapToGrid w:val="0"/>
                <w:color w:val="000000"/>
                <w:spacing w:val="-6"/>
                <w:kern w:val="0"/>
                <w:sz w:val="21"/>
                <w:lang w:eastAsia="en-US"/>
              </w:rPr>
              <w:t>能力、职业素养、生产安全、环境</w:t>
            </w:r>
            <w:r>
              <w:rPr>
                <w:rFonts w:hint="eastAsia" w:ascii="宋体" w:hAnsi="宋体" w:eastAsia="宋体" w:cs="宋体"/>
                <w:b w:val="0"/>
                <w:snapToGrid w:val="0"/>
                <w:color w:val="000000"/>
                <w:spacing w:val="-5"/>
                <w:kern w:val="0"/>
                <w:sz w:val="21"/>
                <w:lang w:eastAsia="en-US"/>
              </w:rPr>
              <w:t>保护等方面的测试。</w:t>
            </w:r>
          </w:p>
        </w:tc>
        <w:tc>
          <w:tcPr>
            <w:tcW w:w="1156" w:type="dxa"/>
            <w:vAlign w:val="center"/>
          </w:tcPr>
          <w:p w14:paraId="32937A9D">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2"/>
                <w:kern w:val="0"/>
                <w:sz w:val="21"/>
              </w:rPr>
              <w:t>6</w:t>
            </w:r>
            <w:r>
              <w:rPr>
                <w:rFonts w:hint="eastAsia" w:ascii="宋体" w:hAnsi="宋体" w:eastAsia="宋体" w:cs="宋体"/>
                <w:b w:val="0"/>
                <w:snapToGrid w:val="0"/>
                <w:color w:val="000000"/>
                <w:spacing w:val="-2"/>
                <w:kern w:val="0"/>
                <w:sz w:val="21"/>
                <w:lang w:eastAsia="en-US"/>
              </w:rPr>
              <w:t>0</w:t>
            </w:r>
            <w:r>
              <w:rPr>
                <w:rFonts w:hint="eastAsia" w:ascii="宋体" w:hAnsi="宋体" w:eastAsia="宋体" w:cs="宋体"/>
                <w:b w:val="0"/>
                <w:snapToGrid w:val="0"/>
                <w:color w:val="000000"/>
                <w:spacing w:val="-11"/>
                <w:kern w:val="0"/>
                <w:sz w:val="21"/>
                <w:lang w:eastAsia="en-US"/>
              </w:rPr>
              <w:t xml:space="preserve"> </w:t>
            </w:r>
            <w:r>
              <w:rPr>
                <w:rFonts w:hint="eastAsia" w:ascii="宋体" w:hAnsi="宋体" w:eastAsia="宋体" w:cs="宋体"/>
                <w:b w:val="0"/>
                <w:snapToGrid w:val="0"/>
                <w:color w:val="000000"/>
                <w:spacing w:val="-2"/>
                <w:kern w:val="0"/>
                <w:sz w:val="21"/>
                <w:lang w:eastAsia="en-US"/>
              </w:rPr>
              <w:t>分钟</w:t>
            </w:r>
          </w:p>
        </w:tc>
        <w:tc>
          <w:tcPr>
            <w:tcW w:w="854" w:type="dxa"/>
            <w:vAlign w:val="center"/>
          </w:tcPr>
          <w:p w14:paraId="7A820D0B">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5"/>
                <w:kern w:val="0"/>
                <w:position w:val="3"/>
                <w:sz w:val="21"/>
                <w:lang w:eastAsia="en-US"/>
              </w:rPr>
              <w:t>10%</w:t>
            </w:r>
          </w:p>
        </w:tc>
      </w:tr>
      <w:tr w14:paraId="08D2E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jc w:val="center"/>
        </w:trPr>
        <w:tc>
          <w:tcPr>
            <w:tcW w:w="1093" w:type="dxa"/>
            <w:vAlign w:val="center"/>
          </w:tcPr>
          <w:p w14:paraId="02AEBA0E">
            <w:pPr>
              <w:pStyle w:val="27"/>
              <w:spacing w:before="0" w:after="0" w:line="540" w:lineRule="exact"/>
              <w:ind w:left="0" w:right="0" w:firstLine="0"/>
              <w:jc w:val="center"/>
              <w:rPr>
                <w:rFonts w:hint="eastAsia" w:ascii="仿宋" w:hAnsi="仿宋" w:eastAsia="仿宋" w:cs="仿宋"/>
              </w:rPr>
            </w:pPr>
          </w:p>
          <w:p w14:paraId="04245773">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bCs w:val="0"/>
                <w:snapToGrid w:val="0"/>
                <w:color w:val="000000"/>
                <w:spacing w:val="-1"/>
                <w:kern w:val="0"/>
                <w:sz w:val="21"/>
                <w:lang w:eastAsia="en-US"/>
              </w:rPr>
              <w:t>模块二</w:t>
            </w:r>
          </w:p>
        </w:tc>
        <w:tc>
          <w:tcPr>
            <w:tcW w:w="1535" w:type="dxa"/>
            <w:vAlign w:val="center"/>
          </w:tcPr>
          <w:p w14:paraId="013B7847">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1"/>
                <w:kern w:val="0"/>
                <w:sz w:val="21"/>
                <w:lang w:eastAsia="en-US"/>
              </w:rPr>
              <w:t>智慧物流系</w:t>
            </w:r>
          </w:p>
          <w:p w14:paraId="6181E751">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1"/>
                <w:kern w:val="0"/>
                <w:sz w:val="21"/>
                <w:lang w:eastAsia="en-US"/>
              </w:rPr>
              <w:t>统规划仿真</w:t>
            </w:r>
          </w:p>
          <w:p w14:paraId="4F93ED77">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1"/>
                <w:kern w:val="0"/>
                <w:sz w:val="21"/>
                <w:lang w:eastAsia="en-US"/>
              </w:rPr>
              <w:t>与方案设计</w:t>
            </w:r>
          </w:p>
        </w:tc>
        <w:tc>
          <w:tcPr>
            <w:tcW w:w="3891" w:type="dxa"/>
            <w:vAlign w:val="center"/>
          </w:tcPr>
          <w:p w14:paraId="7909C0E0">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1"/>
                <w:kern w:val="0"/>
                <w:sz w:val="21"/>
                <w:lang w:eastAsia="en-US"/>
              </w:rPr>
              <w:t>参赛队根据提供的任务背景及相</w:t>
            </w:r>
            <w:r>
              <w:rPr>
                <w:rFonts w:hint="eastAsia" w:ascii="宋体" w:hAnsi="宋体" w:eastAsia="宋体" w:cs="宋体"/>
                <w:b w:val="0"/>
                <w:snapToGrid w:val="0"/>
                <w:color w:val="000000"/>
                <w:spacing w:val="-7"/>
                <w:kern w:val="0"/>
                <w:sz w:val="21"/>
                <w:lang w:eastAsia="en-US"/>
              </w:rPr>
              <w:t>关数据，进行智慧物流系统规划设</w:t>
            </w:r>
            <w:r>
              <w:rPr>
                <w:rFonts w:hint="eastAsia" w:ascii="宋体" w:hAnsi="宋体" w:eastAsia="宋体" w:cs="宋体"/>
                <w:b w:val="0"/>
                <w:snapToGrid w:val="0"/>
                <w:color w:val="000000"/>
                <w:spacing w:val="-9"/>
                <w:kern w:val="0"/>
                <w:sz w:val="21"/>
                <w:lang w:eastAsia="en-US"/>
              </w:rPr>
              <w:t>计 ，并运用系统完成仿真。</w:t>
            </w:r>
          </w:p>
        </w:tc>
        <w:tc>
          <w:tcPr>
            <w:tcW w:w="1156" w:type="dxa"/>
            <w:vAlign w:val="center"/>
          </w:tcPr>
          <w:p w14:paraId="063938A1">
            <w:pPr>
              <w:pStyle w:val="27"/>
              <w:spacing w:before="0" w:after="0" w:line="540" w:lineRule="exact"/>
              <w:ind w:left="0" w:right="0" w:firstLine="0"/>
              <w:jc w:val="center"/>
              <w:rPr>
                <w:rFonts w:hint="eastAsia" w:ascii="仿宋" w:hAnsi="仿宋" w:eastAsia="仿宋" w:cs="仿宋"/>
              </w:rPr>
            </w:pPr>
          </w:p>
          <w:p w14:paraId="5C3E37A7">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4"/>
                <w:kern w:val="0"/>
                <w:sz w:val="21"/>
                <w:lang w:eastAsia="en-US"/>
              </w:rPr>
              <w:t>240</w:t>
            </w:r>
            <w:r>
              <w:rPr>
                <w:rFonts w:hint="eastAsia" w:ascii="宋体" w:hAnsi="宋体" w:eastAsia="宋体" w:cs="宋体"/>
                <w:b w:val="0"/>
                <w:snapToGrid w:val="0"/>
                <w:color w:val="000000"/>
                <w:spacing w:val="-11"/>
                <w:kern w:val="0"/>
                <w:sz w:val="21"/>
                <w:lang w:eastAsia="en-US"/>
              </w:rPr>
              <w:t xml:space="preserve"> </w:t>
            </w:r>
            <w:r>
              <w:rPr>
                <w:rFonts w:hint="eastAsia" w:ascii="宋体" w:hAnsi="宋体" w:eastAsia="宋体" w:cs="宋体"/>
                <w:b w:val="0"/>
                <w:snapToGrid w:val="0"/>
                <w:color w:val="000000"/>
                <w:spacing w:val="-4"/>
                <w:kern w:val="0"/>
                <w:sz w:val="21"/>
                <w:lang w:eastAsia="en-US"/>
              </w:rPr>
              <w:t>分钟</w:t>
            </w:r>
          </w:p>
        </w:tc>
        <w:tc>
          <w:tcPr>
            <w:tcW w:w="854" w:type="dxa"/>
            <w:vAlign w:val="center"/>
          </w:tcPr>
          <w:p w14:paraId="59E9E03A">
            <w:pPr>
              <w:pStyle w:val="27"/>
              <w:spacing w:before="0" w:after="0" w:line="540" w:lineRule="exact"/>
              <w:ind w:left="0" w:right="0" w:firstLine="0"/>
              <w:jc w:val="center"/>
              <w:rPr>
                <w:rFonts w:hint="eastAsia" w:ascii="仿宋" w:hAnsi="仿宋" w:eastAsia="仿宋" w:cs="仿宋"/>
              </w:rPr>
            </w:pPr>
          </w:p>
          <w:p w14:paraId="7C4BF3BF">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lang w:eastAsia="en-US"/>
              </w:rPr>
            </w:pPr>
            <w:r>
              <w:rPr>
                <w:rFonts w:hint="eastAsia" w:ascii="宋体" w:hAnsi="宋体" w:eastAsia="宋体" w:cs="宋体"/>
                <w:b w:val="0"/>
                <w:snapToGrid w:val="0"/>
                <w:color w:val="000000"/>
                <w:spacing w:val="-4"/>
                <w:kern w:val="0"/>
                <w:position w:val="3"/>
                <w:sz w:val="21"/>
                <w:lang w:eastAsia="en-US"/>
              </w:rPr>
              <w:t>60%</w:t>
            </w:r>
          </w:p>
        </w:tc>
      </w:tr>
      <w:tr w14:paraId="58620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jc w:val="center"/>
        </w:trPr>
        <w:tc>
          <w:tcPr>
            <w:tcW w:w="1093" w:type="dxa"/>
            <w:vAlign w:val="center"/>
          </w:tcPr>
          <w:p w14:paraId="1F29D1EA">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b/>
                <w:bCs/>
                <w:snapToGrid w:val="0"/>
                <w:color w:val="000000"/>
                <w:spacing w:val="-1"/>
                <w:kern w:val="0"/>
                <w:sz w:val="24"/>
              </w:rPr>
            </w:pPr>
            <w:r>
              <w:rPr>
                <w:rFonts w:hint="eastAsia" w:ascii="宋体" w:hAnsi="宋体" w:eastAsia="宋体" w:cs="宋体"/>
                <w:b w:val="0"/>
                <w:bCs w:val="0"/>
                <w:snapToGrid w:val="0"/>
                <w:color w:val="000000"/>
                <w:spacing w:val="-1"/>
                <w:kern w:val="0"/>
                <w:sz w:val="21"/>
              </w:rPr>
              <w:t>模块三</w:t>
            </w:r>
          </w:p>
        </w:tc>
        <w:tc>
          <w:tcPr>
            <w:tcW w:w="1535" w:type="dxa"/>
            <w:vAlign w:val="center"/>
          </w:tcPr>
          <w:p w14:paraId="2266D214">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spacing w:val="-1"/>
                <w:kern w:val="0"/>
                <w:sz w:val="24"/>
                <w:lang w:eastAsia="en-US"/>
              </w:rPr>
            </w:pPr>
            <w:r>
              <w:rPr>
                <w:rFonts w:hint="eastAsia" w:ascii="宋体" w:hAnsi="宋体" w:eastAsia="宋体" w:cs="宋体"/>
                <w:b w:val="0"/>
                <w:snapToGrid w:val="0"/>
                <w:color w:val="000000"/>
                <w:spacing w:val="-1"/>
                <w:kern w:val="0"/>
                <w:sz w:val="21"/>
                <w:lang w:eastAsia="en-US"/>
              </w:rPr>
              <w:t>方案汇报答辩</w:t>
            </w:r>
          </w:p>
        </w:tc>
        <w:tc>
          <w:tcPr>
            <w:tcW w:w="3891" w:type="dxa"/>
            <w:vAlign w:val="center"/>
          </w:tcPr>
          <w:p w14:paraId="5D961B76">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spacing w:val="-1"/>
                <w:kern w:val="0"/>
                <w:sz w:val="24"/>
                <w:lang w:eastAsia="en-US"/>
              </w:rPr>
            </w:pPr>
            <w:r>
              <w:rPr>
                <w:rFonts w:hint="eastAsia" w:ascii="宋体" w:hAnsi="宋体" w:eastAsia="宋体" w:cs="宋体"/>
                <w:b w:val="0"/>
                <w:snapToGrid w:val="0"/>
                <w:color w:val="000000"/>
                <w:spacing w:val="-1"/>
                <w:kern w:val="0"/>
                <w:sz w:val="21"/>
                <w:lang w:eastAsia="en-US"/>
              </w:rPr>
              <w:t>参赛队对规划分析过程及设计仿真结果进行汇报答辩。</w:t>
            </w:r>
          </w:p>
        </w:tc>
        <w:tc>
          <w:tcPr>
            <w:tcW w:w="1156" w:type="dxa"/>
            <w:vAlign w:val="center"/>
          </w:tcPr>
          <w:p w14:paraId="62A861AB">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spacing w:val="-4"/>
                <w:kern w:val="0"/>
                <w:sz w:val="24"/>
              </w:rPr>
            </w:pPr>
            <w:r>
              <w:rPr>
                <w:rFonts w:hint="eastAsia" w:ascii="宋体" w:hAnsi="宋体" w:eastAsia="宋体" w:cs="宋体"/>
                <w:b w:val="0"/>
                <w:snapToGrid w:val="0"/>
                <w:color w:val="000000"/>
                <w:spacing w:val="-4"/>
                <w:kern w:val="0"/>
                <w:sz w:val="21"/>
              </w:rPr>
              <w:t>15分钟</w:t>
            </w:r>
          </w:p>
        </w:tc>
        <w:tc>
          <w:tcPr>
            <w:tcW w:w="854" w:type="dxa"/>
            <w:vAlign w:val="center"/>
          </w:tcPr>
          <w:p w14:paraId="70B7DB39">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spacing w:val="-4"/>
                <w:kern w:val="0"/>
                <w:position w:val="3"/>
                <w:sz w:val="24"/>
              </w:rPr>
            </w:pPr>
            <w:r>
              <w:rPr>
                <w:rFonts w:hint="eastAsia" w:ascii="宋体" w:hAnsi="宋体" w:eastAsia="宋体" w:cs="宋体"/>
                <w:b w:val="0"/>
                <w:snapToGrid w:val="0"/>
                <w:color w:val="000000"/>
                <w:spacing w:val="-4"/>
                <w:kern w:val="0"/>
                <w:position w:val="3"/>
                <w:sz w:val="21"/>
              </w:rPr>
              <w:t>30%</w:t>
            </w:r>
          </w:p>
        </w:tc>
      </w:tr>
    </w:tbl>
    <w:p w14:paraId="44D10541">
      <w:pPr>
        <w:widowControl/>
        <w:spacing w:before="0" w:after="0" w:line="540" w:lineRule="exact"/>
        <w:ind w:left="0" w:right="0" w:firstLine="560"/>
        <w:jc w:val="both"/>
        <w:outlineLvl w:val="0"/>
        <w:rPr>
          <w:rFonts w:hint="eastAsia" w:ascii="仿宋" w:hAnsi="仿宋" w:eastAsia="仿宋" w:cs="仿宋"/>
          <w:b/>
          <w:bCs/>
          <w:color w:val="000000"/>
          <w:kern w:val="0"/>
          <w:sz w:val="28"/>
          <w:szCs w:val="28"/>
          <w:lang w:bidi="ar"/>
        </w:rPr>
      </w:pPr>
      <w:bookmarkStart w:id="5" w:name="_Toc750268041"/>
      <w:r>
        <w:rPr>
          <w:rFonts w:hint="eastAsia" w:ascii="黑体" w:hAnsi="黑体" w:eastAsia="黑体" w:cs="黑体"/>
          <w:b w:val="0"/>
          <w:bCs w:val="0"/>
          <w:color w:val="000000"/>
          <w:kern w:val="0"/>
          <w:sz w:val="28"/>
          <w:szCs w:val="28"/>
          <w:lang w:bidi="ar"/>
        </w:rPr>
        <w:t>四、竞赛方式</w:t>
      </w:r>
      <w:bookmarkEnd w:id="5"/>
      <w:r>
        <w:rPr>
          <w:rFonts w:hint="eastAsia" w:ascii="黑体" w:hAnsi="黑体" w:eastAsia="黑体" w:cs="黑体"/>
          <w:b w:val="0"/>
          <w:bCs w:val="0"/>
          <w:color w:val="000000"/>
          <w:kern w:val="0"/>
          <w:sz w:val="28"/>
          <w:szCs w:val="28"/>
          <w:lang w:bidi="ar"/>
        </w:rPr>
        <w:t xml:space="preserve"> </w:t>
      </w:r>
    </w:p>
    <w:p w14:paraId="21C3604A">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rPr>
        <w:t>竞赛所有模块以团队方式进行，团队所有选手均参加所有模块竞赛。参赛选手须为全日制正式学籍的在校生。参赛对象为高职（专科）学校、本科层次职业学校（含普通本科学校职教本科专业）。</w:t>
      </w:r>
      <w:r>
        <w:rPr>
          <w:rFonts w:hint="eastAsia" w:ascii="仿宋_GB2312" w:hAnsi="仿宋_GB2312" w:eastAsia="仿宋_GB2312" w:cs="仿宋_GB2312"/>
          <w:b w:val="0"/>
          <w:sz w:val="28"/>
          <w:szCs w:val="28"/>
          <w:lang w:val="en-US" w:eastAsia="zh-CN"/>
        </w:rPr>
        <w:t>高职组参赛学生年龄不超过25周岁（即2002年5月1日及之后出生），五年制高职学生报名参赛的，四、五年级学生参加高职组比赛。</w:t>
      </w:r>
      <w:r>
        <w:rPr>
          <w:rFonts w:hint="eastAsia" w:ascii="仿宋_GB2312" w:hAnsi="仿宋_GB2312" w:eastAsia="仿宋_GB2312" w:cs="仿宋_GB2312"/>
          <w:b w:val="0"/>
          <w:sz w:val="28"/>
          <w:szCs w:val="28"/>
        </w:rPr>
        <w:t>在近两年世界职业院校技能大赛中获金奖的学生，不再参加同一项目（同一组别）的全省竞赛。</w:t>
      </w:r>
    </w:p>
    <w:p w14:paraId="5F51A9E8">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lang w:eastAsia="zh-Hans"/>
        </w:rPr>
        <w:t>每个参赛院校最多可报名 3 支队伍参赛</w:t>
      </w:r>
      <w:r>
        <w:rPr>
          <w:rFonts w:hint="eastAsia" w:ascii="仿宋_GB2312" w:hAnsi="仿宋_GB2312" w:eastAsia="仿宋_GB2312" w:cs="仿宋_GB2312"/>
          <w:b w:val="0"/>
          <w:sz w:val="28"/>
          <w:szCs w:val="28"/>
        </w:rPr>
        <w:t>，每队参赛选手4名、指导教师1～2名、领队1名。</w:t>
      </w:r>
    </w:p>
    <w:p w14:paraId="19BDB530">
      <w:pPr>
        <w:spacing w:before="0" w:after="0" w:line="540" w:lineRule="exact"/>
        <w:ind w:left="0" w:right="0" w:firstLine="560"/>
        <w:jc w:val="both"/>
        <w:outlineLvl w:val="0"/>
        <w:rPr>
          <w:rFonts w:hint="default" w:ascii="仿宋_GB2312" w:hAnsi="仿宋_GB2312" w:eastAsia="仿宋_GB2312" w:cs="仿宋_GB2312"/>
          <w:b w:val="0"/>
          <w:sz w:val="28"/>
          <w:szCs w:val="28"/>
          <w:lang w:val="en-US" w:eastAsia="zh-CN"/>
        </w:rPr>
      </w:pPr>
      <w:bookmarkStart w:id="6" w:name="_Toc1878473550"/>
      <w:r>
        <w:rPr>
          <w:rFonts w:hint="eastAsia" w:ascii="黑体" w:hAnsi="黑体" w:eastAsia="黑体" w:cs="黑体"/>
          <w:b w:val="0"/>
          <w:bCs w:val="0"/>
          <w:spacing w:val="-4"/>
          <w:sz w:val="28"/>
          <w:szCs w:val="28"/>
        </w:rPr>
        <w:t>五</w:t>
      </w:r>
      <w:r>
        <w:rPr>
          <w:rFonts w:hint="eastAsia" w:ascii="黑体" w:hAnsi="黑体" w:eastAsia="黑体" w:cs="黑体"/>
          <w:b w:val="0"/>
          <w:bCs w:val="0"/>
          <w:spacing w:val="-2"/>
          <w:sz w:val="28"/>
          <w:szCs w:val="28"/>
        </w:rPr>
        <w:t>、竞赛流程</w:t>
      </w:r>
      <w:bookmarkEnd w:id="6"/>
    </w:p>
    <w:p w14:paraId="48B6BFC4">
      <w:pPr>
        <w:adjustRightInd w:val="0"/>
        <w:snapToGrid w:val="0"/>
        <w:spacing w:before="0" w:after="0" w:line="540" w:lineRule="exact"/>
        <w:ind w:left="0" w:right="0" w:firstLine="560" w:firstLineChars="200"/>
        <w:jc w:val="both"/>
        <w:rPr>
          <w:rFonts w:hint="default" w:ascii="仿宋" w:hAnsi="仿宋" w:eastAsia="仿宋_GB2312" w:cs="仿宋"/>
          <w:sz w:val="28"/>
          <w:szCs w:val="28"/>
          <w:lang w:val="en-US" w:eastAsia="zh-CN"/>
        </w:rPr>
      </w:pPr>
      <w:r>
        <w:rPr>
          <w:rFonts w:hint="eastAsia" w:ascii="仿宋_GB2312" w:hAnsi="仿宋_GB2312" w:eastAsia="仿宋_GB2312" w:cs="仿宋_GB2312"/>
          <w:b w:val="0"/>
          <w:sz w:val="28"/>
          <w:szCs w:val="28"/>
        </w:rPr>
        <w:t>比赛日期：2026年11月</w:t>
      </w:r>
      <w:r>
        <w:rPr>
          <w:rFonts w:hint="eastAsia" w:ascii="仿宋_GB2312" w:hAnsi="仿宋_GB2312" w:eastAsia="仿宋_GB2312" w:cs="仿宋_GB2312"/>
          <w:b w:val="0"/>
          <w:sz w:val="28"/>
          <w:szCs w:val="28"/>
          <w:lang w:val="en-US" w:eastAsia="zh-CN"/>
        </w:rPr>
        <w:t>23</w:t>
      </w:r>
      <w:r>
        <w:rPr>
          <w:rFonts w:hint="eastAsia" w:ascii="仿宋_GB2312" w:hAnsi="仿宋_GB2312" w:eastAsia="仿宋_GB2312" w:cs="仿宋_GB2312"/>
          <w:b w:val="0"/>
          <w:sz w:val="28"/>
          <w:szCs w:val="28"/>
        </w:rPr>
        <w:t>日-</w:t>
      </w:r>
      <w:r>
        <w:rPr>
          <w:rFonts w:hint="eastAsia" w:ascii="仿宋_GB2312" w:hAnsi="仿宋_GB2312" w:eastAsia="仿宋_GB2312" w:cs="仿宋_GB2312"/>
          <w:b w:val="0"/>
          <w:sz w:val="28"/>
          <w:szCs w:val="28"/>
          <w:lang w:val="en-US" w:eastAsia="zh-CN"/>
        </w:rPr>
        <w:t>11月</w:t>
      </w:r>
      <w:r>
        <w:rPr>
          <w:rFonts w:hint="eastAsia" w:ascii="仿宋_GB2312" w:hAnsi="仿宋_GB2312" w:eastAsia="仿宋_GB2312" w:cs="仿宋_GB2312"/>
          <w:b w:val="0"/>
          <w:sz w:val="28"/>
          <w:szCs w:val="28"/>
        </w:rPr>
        <w:t>29日。</w:t>
      </w:r>
      <w:r>
        <w:rPr>
          <w:rFonts w:hint="eastAsia" w:ascii="仿宋_GB2312" w:hAnsi="仿宋_GB2312" w:eastAsia="仿宋_GB2312" w:cs="仿宋_GB2312"/>
          <w:b w:val="0"/>
          <w:sz w:val="28"/>
          <w:szCs w:val="28"/>
          <w:lang w:val="en-US" w:eastAsia="zh-CN"/>
        </w:rPr>
        <w:t>具体赛程、报到及参赛时间以报名成功后组委会正式通知为准。</w:t>
      </w:r>
    </w:p>
    <w:p w14:paraId="25E78E2F">
      <w:pPr>
        <w:adjustRightInd w:val="0"/>
        <w:snapToGrid w:val="0"/>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sz w:val="28"/>
          <w:szCs w:val="28"/>
        </w:rPr>
        <w:t>比赛时间安排：</w:t>
      </w:r>
      <w:r>
        <w:rPr>
          <w:rFonts w:hint="eastAsia" w:ascii="仿宋_GB2312" w:hAnsi="仿宋_GB2312" w:eastAsia="仿宋_GB2312" w:cs="仿宋_GB2312"/>
          <w:b w:val="0"/>
          <w:sz w:val="28"/>
          <w:szCs w:val="28"/>
          <w:lang w:eastAsia="zh-Hans"/>
        </w:rPr>
        <w:t>赛前场地观摩学习</w:t>
      </w:r>
      <w:r>
        <w:rPr>
          <w:rFonts w:hint="eastAsia" w:ascii="仿宋_GB2312" w:hAnsi="仿宋_GB2312" w:eastAsia="仿宋_GB2312" w:cs="仿宋_GB2312"/>
          <w:b w:val="0"/>
          <w:sz w:val="28"/>
          <w:szCs w:val="28"/>
        </w:rPr>
        <w:t>半</w:t>
      </w:r>
      <w:r>
        <w:rPr>
          <w:rFonts w:hint="eastAsia" w:ascii="仿宋_GB2312" w:hAnsi="仿宋_GB2312" w:eastAsia="仿宋_GB2312" w:cs="仿宋_GB2312"/>
          <w:b w:val="0"/>
          <w:sz w:val="28"/>
          <w:szCs w:val="28"/>
          <w:lang w:eastAsia="zh-Hans"/>
        </w:rPr>
        <w:t>天</w:t>
      </w:r>
      <w:r>
        <w:rPr>
          <w:rFonts w:ascii="仿宋_GB2312" w:hAnsi="仿宋_GB2312" w:eastAsia="仿宋_GB2312" w:cs="仿宋_GB2312"/>
          <w:b w:val="0"/>
          <w:sz w:val="28"/>
          <w:szCs w:val="28"/>
          <w:lang w:eastAsia="zh-Hans"/>
        </w:rPr>
        <w:t>，</w:t>
      </w:r>
      <w:r>
        <w:rPr>
          <w:rFonts w:hint="eastAsia" w:ascii="仿宋_GB2312" w:hAnsi="仿宋_GB2312" w:eastAsia="仿宋_GB2312" w:cs="仿宋_GB2312"/>
          <w:b w:val="0"/>
          <w:sz w:val="28"/>
          <w:szCs w:val="28"/>
        </w:rPr>
        <w:t>正式比赛时间1天，具体安排见竞赛日程表。</w:t>
      </w:r>
    </w:p>
    <w:p w14:paraId="3F465B98">
      <w:pPr>
        <w:spacing w:before="0" w:after="0" w:line="540" w:lineRule="exact"/>
        <w:ind w:left="0" w:right="0" w:firstLine="0"/>
        <w:jc w:val="center"/>
        <w:outlineLvl w:val="0"/>
        <w:rPr>
          <w:rFonts w:hint="eastAsia" w:ascii="仿宋" w:hAnsi="仿宋" w:eastAsia="仿宋" w:cs="仿宋"/>
          <w:b/>
          <w:bCs/>
          <w:spacing w:val="-6"/>
          <w:sz w:val="28"/>
          <w:szCs w:val="28"/>
          <w:lang w:eastAsia="zh-Hans"/>
        </w:rPr>
      </w:pPr>
      <w:bookmarkStart w:id="7" w:name="_Toc1347860303"/>
      <w:r>
        <w:rPr>
          <w:rFonts w:hint="eastAsia" w:ascii="黑体" w:hAnsi="黑体" w:eastAsia="黑体" w:cs="黑体"/>
          <w:b w:val="0"/>
          <w:bCs w:val="0"/>
          <w:spacing w:val="-6"/>
          <w:sz w:val="28"/>
          <w:szCs w:val="28"/>
          <w:lang w:eastAsia="zh-Hans"/>
        </w:rPr>
        <w:t>竞赛日程表</w:t>
      </w:r>
      <w:bookmarkEnd w:id="7"/>
    </w:p>
    <w:tbl>
      <w:tblPr>
        <w:tblStyle w:val="24"/>
        <w:tblW w:w="884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6"/>
        <w:gridCol w:w="2549"/>
        <w:gridCol w:w="5094"/>
      </w:tblGrid>
      <w:tr w14:paraId="13F32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blHeader/>
          <w:jc w:val="center"/>
        </w:trPr>
        <w:tc>
          <w:tcPr>
            <w:tcW w:w="1166" w:type="dxa"/>
            <w:tcBorders>
              <w:bottom w:val="single" w:color="auto" w:sz="4" w:space="0"/>
            </w:tcBorders>
            <w:vAlign w:val="center"/>
          </w:tcPr>
          <w:p w14:paraId="0934AABE">
            <w:pPr>
              <w:spacing w:before="0" w:after="0" w:line="540" w:lineRule="exact"/>
              <w:ind w:left="0" w:right="0" w:firstLine="398" w:firstLineChars="200"/>
              <w:jc w:val="both"/>
              <w:rPr>
                <w:rFonts w:hint="eastAsia" w:ascii="仿宋" w:hAnsi="仿宋" w:eastAsia="仿宋" w:cs="仿宋"/>
                <w:sz w:val="24"/>
              </w:rPr>
            </w:pPr>
            <w:r>
              <w:rPr>
                <w:rFonts w:hint="eastAsia" w:ascii="宋体" w:hAnsi="宋体" w:eastAsia="宋体" w:cs="宋体"/>
                <w:b/>
                <w:spacing w:val="-21"/>
                <w:sz w:val="24"/>
              </w:rPr>
              <w:t>日</w:t>
            </w:r>
            <w:r>
              <w:rPr>
                <w:rFonts w:hint="eastAsia" w:ascii="宋体" w:hAnsi="宋体" w:eastAsia="宋体" w:cs="宋体"/>
                <w:b/>
                <w:spacing w:val="-20"/>
                <w:sz w:val="24"/>
              </w:rPr>
              <w:t>期</w:t>
            </w:r>
          </w:p>
        </w:tc>
        <w:tc>
          <w:tcPr>
            <w:tcW w:w="2549" w:type="dxa"/>
            <w:vAlign w:val="center"/>
          </w:tcPr>
          <w:p w14:paraId="4486EA4E">
            <w:pPr>
              <w:spacing w:before="0" w:after="0" w:line="540" w:lineRule="exact"/>
              <w:ind w:right="0" w:firstLine="916" w:firstLineChars="400"/>
              <w:jc w:val="both"/>
              <w:rPr>
                <w:rFonts w:hint="eastAsia" w:ascii="仿宋" w:hAnsi="仿宋" w:eastAsia="仿宋" w:cs="仿宋"/>
                <w:sz w:val="24"/>
              </w:rPr>
            </w:pPr>
            <w:r>
              <w:rPr>
                <w:rFonts w:hint="eastAsia" w:ascii="宋体" w:hAnsi="宋体" w:eastAsia="宋体" w:cs="宋体"/>
                <w:b/>
                <w:spacing w:val="-6"/>
                <w:sz w:val="24"/>
              </w:rPr>
              <w:t>时</w:t>
            </w:r>
            <w:r>
              <w:rPr>
                <w:rFonts w:hint="eastAsia" w:ascii="宋体" w:hAnsi="宋体" w:eastAsia="宋体" w:cs="宋体"/>
                <w:b/>
                <w:spacing w:val="-5"/>
                <w:sz w:val="24"/>
              </w:rPr>
              <w:t>间</w:t>
            </w:r>
          </w:p>
        </w:tc>
        <w:tc>
          <w:tcPr>
            <w:tcW w:w="5094" w:type="dxa"/>
            <w:vAlign w:val="center"/>
          </w:tcPr>
          <w:p w14:paraId="06D77D6B">
            <w:pPr>
              <w:spacing w:before="0" w:after="0" w:line="540" w:lineRule="exact"/>
              <w:ind w:left="0" w:right="0" w:firstLine="0"/>
              <w:jc w:val="center"/>
              <w:rPr>
                <w:rFonts w:hint="eastAsia" w:ascii="仿宋" w:hAnsi="仿宋" w:eastAsia="仿宋" w:cs="仿宋"/>
                <w:sz w:val="24"/>
              </w:rPr>
            </w:pPr>
            <w:r>
              <w:rPr>
                <w:rFonts w:hint="eastAsia" w:ascii="宋体" w:hAnsi="宋体" w:eastAsia="宋体" w:cs="宋体"/>
                <w:b/>
                <w:spacing w:val="-12"/>
                <w:sz w:val="24"/>
              </w:rPr>
              <w:t>内</w:t>
            </w:r>
            <w:r>
              <w:rPr>
                <w:rFonts w:hint="eastAsia" w:ascii="宋体" w:hAnsi="宋体" w:eastAsia="宋体" w:cs="宋体"/>
                <w:b/>
                <w:spacing w:val="-10"/>
                <w:sz w:val="24"/>
              </w:rPr>
              <w:t>容</w:t>
            </w:r>
          </w:p>
        </w:tc>
      </w:tr>
      <w:tr w14:paraId="5F76B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restart"/>
            <w:tcBorders>
              <w:top w:val="single" w:color="auto" w:sz="4" w:space="0"/>
              <w:left w:val="single" w:color="auto" w:sz="4" w:space="0"/>
              <w:bottom w:val="single" w:color="auto" w:sz="4" w:space="0"/>
              <w:right w:val="single" w:color="auto" w:sz="4" w:space="0"/>
            </w:tcBorders>
            <w:vAlign w:val="center"/>
          </w:tcPr>
          <w:p w14:paraId="71F258BE">
            <w:pPr>
              <w:spacing w:before="0" w:after="0" w:line="540" w:lineRule="exact"/>
              <w:ind w:left="0" w:right="0" w:firstLine="0"/>
              <w:jc w:val="center"/>
              <w:rPr>
                <w:rFonts w:hint="eastAsia" w:ascii="仿宋" w:hAnsi="仿宋" w:eastAsia="仿宋" w:cs="仿宋"/>
                <w:spacing w:val="-16"/>
                <w:sz w:val="24"/>
              </w:rPr>
            </w:pPr>
            <w:r>
              <w:rPr>
                <w:rFonts w:hint="eastAsia" w:ascii="宋体" w:hAnsi="宋体" w:eastAsia="宋体" w:cs="宋体"/>
                <w:b w:val="0"/>
                <w:spacing w:val="-16"/>
                <w:sz w:val="21"/>
              </w:rPr>
              <w:t>第一天</w:t>
            </w:r>
          </w:p>
          <w:p w14:paraId="79436888">
            <w:pPr>
              <w:spacing w:before="0" w:after="0" w:line="540" w:lineRule="exact"/>
              <w:ind w:left="0" w:right="0" w:firstLine="0"/>
              <w:jc w:val="center"/>
              <w:rPr>
                <w:rFonts w:ascii="仿宋" w:hAnsi="仿宋" w:eastAsia="仿宋" w:cs="仿宋"/>
                <w:spacing w:val="-16"/>
                <w:sz w:val="24"/>
              </w:rPr>
            </w:pPr>
            <w:r>
              <w:rPr>
                <w:rFonts w:hint="eastAsia" w:ascii="宋体" w:hAnsi="宋体" w:eastAsia="宋体" w:cs="宋体"/>
                <w:b w:val="0"/>
                <w:spacing w:val="-16"/>
                <w:sz w:val="21"/>
              </w:rPr>
              <w:t>报到日</w:t>
            </w:r>
          </w:p>
        </w:tc>
        <w:tc>
          <w:tcPr>
            <w:tcW w:w="2549" w:type="dxa"/>
            <w:tcBorders>
              <w:left w:val="single" w:color="auto" w:sz="4" w:space="0"/>
            </w:tcBorders>
            <w:vAlign w:val="center"/>
          </w:tcPr>
          <w:p w14:paraId="2A0E1ED2">
            <w:pPr>
              <w:widowControl/>
              <w:spacing w:before="0" w:after="0" w:line="540" w:lineRule="exact"/>
              <w:ind w:left="0" w:right="0" w:firstLine="0"/>
              <w:jc w:val="center"/>
              <w:textAlignment w:val="center"/>
              <w:rPr>
                <w:rFonts w:ascii="仿宋" w:hAnsi="仿宋" w:eastAsia="仿宋" w:cs="仿宋"/>
                <w:color w:val="000000"/>
                <w:kern w:val="0"/>
                <w:sz w:val="24"/>
                <w:lang w:bidi="ar"/>
              </w:rPr>
            </w:pPr>
            <w:r>
              <w:rPr>
                <w:rFonts w:hint="eastAsia" w:ascii="宋体" w:hAnsi="宋体" w:eastAsia="宋体" w:cs="宋体"/>
                <w:b w:val="0"/>
                <w:color w:val="000000"/>
                <w:kern w:val="0"/>
                <w:sz w:val="21"/>
                <w:lang w:bidi="ar"/>
              </w:rPr>
              <w:t>15</w:t>
            </w:r>
            <w:r>
              <w:rPr>
                <w:rFonts w:ascii="宋体" w:hAnsi="宋体" w:eastAsia="宋体" w:cs="宋体"/>
                <w:b w:val="0"/>
                <w:color w:val="000000"/>
                <w:kern w:val="0"/>
                <w:sz w:val="21"/>
                <w:lang w:bidi="ar"/>
              </w:rPr>
              <w:t>:</w:t>
            </w:r>
            <w:r>
              <w:rPr>
                <w:rFonts w:hint="eastAsia" w:ascii="宋体" w:hAnsi="宋体" w:eastAsia="宋体" w:cs="宋体"/>
                <w:b w:val="0"/>
                <w:color w:val="000000"/>
                <w:kern w:val="0"/>
                <w:sz w:val="21"/>
                <w:lang w:bidi="ar"/>
              </w:rPr>
              <w:t>0</w:t>
            </w:r>
            <w:r>
              <w:rPr>
                <w:rFonts w:ascii="宋体" w:hAnsi="宋体" w:eastAsia="宋体" w:cs="宋体"/>
                <w:b w:val="0"/>
                <w:color w:val="000000"/>
                <w:kern w:val="0"/>
                <w:sz w:val="21"/>
                <w:lang w:bidi="ar"/>
              </w:rPr>
              <w:t>0-</w:t>
            </w:r>
            <w:r>
              <w:rPr>
                <w:rFonts w:hint="eastAsia" w:ascii="宋体" w:hAnsi="宋体" w:eastAsia="宋体" w:cs="宋体"/>
                <w:b w:val="0"/>
                <w:color w:val="000000"/>
                <w:kern w:val="0"/>
                <w:sz w:val="21"/>
                <w:lang w:bidi="ar"/>
              </w:rPr>
              <w:t>15</w:t>
            </w:r>
            <w:r>
              <w:rPr>
                <w:rFonts w:ascii="宋体" w:hAnsi="宋体" w:eastAsia="宋体" w:cs="宋体"/>
                <w:b w:val="0"/>
                <w:color w:val="000000"/>
                <w:kern w:val="0"/>
                <w:sz w:val="21"/>
                <w:lang w:bidi="ar"/>
              </w:rPr>
              <w:t>:</w:t>
            </w:r>
            <w:r>
              <w:rPr>
                <w:rFonts w:hint="eastAsia" w:ascii="宋体" w:hAnsi="宋体" w:eastAsia="宋体" w:cs="宋体"/>
                <w:b w:val="0"/>
                <w:color w:val="000000"/>
                <w:kern w:val="0"/>
                <w:sz w:val="21"/>
                <w:lang w:bidi="ar"/>
              </w:rPr>
              <w:t>15</w:t>
            </w:r>
          </w:p>
        </w:tc>
        <w:tc>
          <w:tcPr>
            <w:tcW w:w="5094" w:type="dxa"/>
            <w:vAlign w:val="center"/>
          </w:tcPr>
          <w:p w14:paraId="7AC12A0A">
            <w:pPr>
              <w:widowControl/>
              <w:spacing w:before="0" w:after="0" w:line="540" w:lineRule="exact"/>
              <w:ind w:left="0" w:right="0" w:firstLine="0"/>
              <w:jc w:val="center"/>
              <w:textAlignment w:val="center"/>
              <w:rPr>
                <w:rFonts w:hint="eastAsia" w:ascii="仿宋" w:hAnsi="仿宋" w:eastAsia="仿宋" w:cs="仿宋"/>
                <w:sz w:val="24"/>
              </w:rPr>
            </w:pPr>
            <w:r>
              <w:rPr>
                <w:rFonts w:hint="eastAsia" w:ascii="宋体" w:hAnsi="宋体" w:eastAsia="宋体" w:cs="宋体"/>
                <w:b w:val="0"/>
                <w:color w:val="000000"/>
                <w:kern w:val="0"/>
                <w:sz w:val="21"/>
                <w:lang w:bidi="ar"/>
              </w:rPr>
              <w:t>参</w:t>
            </w:r>
            <w:r>
              <w:rPr>
                <w:rFonts w:hint="eastAsia" w:ascii="宋体" w:hAnsi="宋体" w:eastAsia="宋体" w:cs="宋体"/>
                <w:b w:val="0"/>
                <w:color w:val="000000"/>
                <w:sz w:val="21"/>
                <w:lang w:bidi="ar"/>
              </w:rPr>
              <w:t>赛队报到</w:t>
            </w:r>
          </w:p>
        </w:tc>
      </w:tr>
      <w:tr w14:paraId="4A62A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top w:val="single" w:color="auto" w:sz="4" w:space="0"/>
              <w:left w:val="single" w:color="auto" w:sz="4" w:space="0"/>
              <w:bottom w:val="single" w:color="auto" w:sz="4" w:space="0"/>
              <w:right w:val="single" w:color="auto" w:sz="4" w:space="0"/>
            </w:tcBorders>
          </w:tcPr>
          <w:p w14:paraId="67E3387D">
            <w:pPr>
              <w:spacing w:before="65" w:line="232" w:lineRule="auto"/>
              <w:rPr>
                <w:rFonts w:hint="eastAsia" w:ascii="仿宋" w:hAnsi="仿宋" w:eastAsia="仿宋" w:cs="仿宋"/>
                <w:spacing w:val="-16"/>
                <w:sz w:val="24"/>
              </w:rPr>
            </w:pPr>
          </w:p>
        </w:tc>
        <w:tc>
          <w:tcPr>
            <w:tcW w:w="2549" w:type="dxa"/>
            <w:tcBorders>
              <w:left w:val="single" w:color="auto" w:sz="4" w:space="0"/>
            </w:tcBorders>
            <w:vAlign w:val="center"/>
          </w:tcPr>
          <w:p w14:paraId="12FAF5DE">
            <w:pPr>
              <w:widowControl/>
              <w:spacing w:before="0" w:after="0" w:line="540" w:lineRule="exact"/>
              <w:ind w:left="0" w:right="0" w:firstLine="0"/>
              <w:jc w:val="center"/>
              <w:textAlignment w:val="center"/>
              <w:rPr>
                <w:rFonts w:ascii="仿宋" w:hAnsi="仿宋" w:eastAsia="仿宋" w:cs="仿宋"/>
                <w:color w:val="000000"/>
                <w:kern w:val="0"/>
                <w:sz w:val="24"/>
                <w:lang w:bidi="ar"/>
              </w:rPr>
            </w:pPr>
            <w:r>
              <w:rPr>
                <w:rFonts w:hint="eastAsia" w:ascii="宋体" w:hAnsi="宋体" w:eastAsia="宋体" w:cs="宋体"/>
                <w:b w:val="0"/>
                <w:color w:val="000000"/>
                <w:kern w:val="0"/>
                <w:sz w:val="21"/>
                <w:lang w:bidi="ar"/>
              </w:rPr>
              <w:t>15:15-15:45</w:t>
            </w:r>
          </w:p>
        </w:tc>
        <w:tc>
          <w:tcPr>
            <w:tcW w:w="5094" w:type="dxa"/>
            <w:vAlign w:val="center"/>
          </w:tcPr>
          <w:p w14:paraId="40B7130D">
            <w:pPr>
              <w:widowControl/>
              <w:spacing w:before="0" w:after="0" w:line="540" w:lineRule="exact"/>
              <w:ind w:left="0" w:right="0" w:firstLine="0"/>
              <w:jc w:val="center"/>
              <w:textAlignment w:val="center"/>
              <w:rPr>
                <w:rFonts w:hint="eastAsia" w:ascii="仿宋" w:hAnsi="仿宋" w:eastAsia="仿宋" w:cs="仿宋"/>
                <w:sz w:val="24"/>
              </w:rPr>
            </w:pPr>
            <w:r>
              <w:rPr>
                <w:rFonts w:hint="eastAsia" w:ascii="宋体" w:hAnsi="宋体" w:eastAsia="宋体" w:cs="宋体"/>
                <w:b w:val="0"/>
                <w:color w:val="000000"/>
                <w:kern w:val="0"/>
                <w:sz w:val="21"/>
                <w:lang w:bidi="ar"/>
              </w:rPr>
              <w:t>分组抽签</w:t>
            </w:r>
          </w:p>
        </w:tc>
      </w:tr>
      <w:tr w14:paraId="73AA8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top w:val="single" w:color="auto" w:sz="4" w:space="0"/>
              <w:left w:val="single" w:color="auto" w:sz="4" w:space="0"/>
              <w:bottom w:val="single" w:color="auto" w:sz="4" w:space="0"/>
              <w:right w:val="single" w:color="auto" w:sz="4" w:space="0"/>
            </w:tcBorders>
          </w:tcPr>
          <w:p w14:paraId="4575E52B">
            <w:pPr>
              <w:spacing w:before="65" w:line="232" w:lineRule="auto"/>
              <w:rPr>
                <w:rFonts w:hint="eastAsia" w:ascii="仿宋" w:hAnsi="仿宋" w:eastAsia="仿宋" w:cs="仿宋"/>
                <w:spacing w:val="-16"/>
                <w:sz w:val="24"/>
              </w:rPr>
            </w:pPr>
          </w:p>
        </w:tc>
        <w:tc>
          <w:tcPr>
            <w:tcW w:w="2549" w:type="dxa"/>
            <w:tcBorders>
              <w:left w:val="single" w:color="auto" w:sz="4" w:space="0"/>
            </w:tcBorders>
            <w:vAlign w:val="center"/>
          </w:tcPr>
          <w:p w14:paraId="56E57F62">
            <w:pPr>
              <w:widowControl/>
              <w:spacing w:before="0" w:after="0" w:line="540" w:lineRule="exact"/>
              <w:ind w:left="0" w:right="0" w:firstLine="0"/>
              <w:jc w:val="center"/>
              <w:textAlignment w:val="center"/>
              <w:rPr>
                <w:rFonts w:ascii="仿宋" w:hAnsi="仿宋" w:eastAsia="仿宋" w:cs="仿宋"/>
                <w:color w:val="000000"/>
                <w:kern w:val="0"/>
                <w:sz w:val="24"/>
                <w:lang w:bidi="ar"/>
              </w:rPr>
            </w:pPr>
            <w:r>
              <w:rPr>
                <w:rFonts w:hint="eastAsia" w:ascii="宋体" w:hAnsi="宋体" w:eastAsia="宋体" w:cs="宋体"/>
                <w:b w:val="0"/>
                <w:color w:val="000000"/>
                <w:kern w:val="0"/>
                <w:sz w:val="21"/>
                <w:lang w:bidi="ar"/>
              </w:rPr>
              <w:t>15:50-17:00</w:t>
            </w:r>
          </w:p>
        </w:tc>
        <w:tc>
          <w:tcPr>
            <w:tcW w:w="5094" w:type="dxa"/>
            <w:vAlign w:val="center"/>
          </w:tcPr>
          <w:p w14:paraId="3D54A77F">
            <w:pPr>
              <w:widowControl/>
              <w:spacing w:before="0" w:after="0" w:line="540" w:lineRule="exact"/>
              <w:ind w:left="0" w:right="0" w:firstLine="0"/>
              <w:jc w:val="center"/>
              <w:textAlignment w:val="center"/>
              <w:rPr>
                <w:rFonts w:hint="eastAsia" w:ascii="仿宋" w:hAnsi="仿宋" w:eastAsia="仿宋" w:cs="仿宋"/>
                <w:sz w:val="24"/>
              </w:rPr>
            </w:pPr>
            <w:r>
              <w:rPr>
                <w:rFonts w:hint="eastAsia" w:ascii="宋体" w:hAnsi="宋体" w:eastAsia="宋体" w:cs="宋体"/>
                <w:b w:val="0"/>
                <w:color w:val="000000"/>
                <w:kern w:val="0"/>
                <w:sz w:val="21"/>
                <w:lang w:bidi="ar"/>
              </w:rPr>
              <w:t>熟悉比赛场地</w:t>
            </w:r>
          </w:p>
        </w:tc>
      </w:tr>
      <w:tr w14:paraId="7D1C9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top w:val="single" w:color="auto" w:sz="4" w:space="0"/>
              <w:left w:val="single" w:color="auto" w:sz="4" w:space="0"/>
              <w:bottom w:val="single" w:color="auto" w:sz="4" w:space="0"/>
              <w:right w:val="single" w:color="auto" w:sz="4" w:space="0"/>
            </w:tcBorders>
          </w:tcPr>
          <w:p w14:paraId="6FC711CF">
            <w:pPr>
              <w:spacing w:before="65" w:line="232" w:lineRule="auto"/>
              <w:rPr>
                <w:rFonts w:hint="eastAsia" w:ascii="仿宋" w:hAnsi="仿宋" w:eastAsia="仿宋" w:cs="仿宋"/>
                <w:spacing w:val="-16"/>
                <w:sz w:val="24"/>
              </w:rPr>
            </w:pPr>
          </w:p>
        </w:tc>
        <w:tc>
          <w:tcPr>
            <w:tcW w:w="2549" w:type="dxa"/>
            <w:tcBorders>
              <w:left w:val="single" w:color="auto" w:sz="4" w:space="0"/>
            </w:tcBorders>
            <w:vAlign w:val="center"/>
          </w:tcPr>
          <w:p w14:paraId="43033480">
            <w:pPr>
              <w:widowControl/>
              <w:spacing w:before="0" w:after="0" w:line="540" w:lineRule="exact"/>
              <w:ind w:left="0" w:right="0" w:firstLine="0"/>
              <w:jc w:val="center"/>
              <w:textAlignment w:val="center"/>
              <w:rPr>
                <w:rFonts w:ascii="仿宋" w:hAnsi="仿宋" w:eastAsia="仿宋" w:cs="仿宋"/>
                <w:color w:val="000000"/>
                <w:kern w:val="0"/>
                <w:sz w:val="24"/>
                <w:lang w:bidi="ar"/>
              </w:rPr>
            </w:pPr>
            <w:r>
              <w:rPr>
                <w:rFonts w:hint="eastAsia" w:ascii="宋体" w:hAnsi="宋体" w:eastAsia="宋体" w:cs="宋体"/>
                <w:b w:val="0"/>
                <w:color w:val="000000"/>
                <w:kern w:val="0"/>
                <w:sz w:val="21"/>
                <w:lang w:bidi="ar"/>
              </w:rPr>
              <w:t>17:00</w:t>
            </w:r>
          </w:p>
        </w:tc>
        <w:tc>
          <w:tcPr>
            <w:tcW w:w="5094" w:type="dxa"/>
            <w:vAlign w:val="center"/>
          </w:tcPr>
          <w:p w14:paraId="6D01E78B">
            <w:pPr>
              <w:widowControl/>
              <w:spacing w:before="0" w:after="0" w:line="540" w:lineRule="exact"/>
              <w:ind w:left="0" w:right="0" w:firstLine="0"/>
              <w:jc w:val="center"/>
              <w:textAlignment w:val="center"/>
              <w:rPr>
                <w:rFonts w:ascii="仿宋" w:hAnsi="仿宋" w:eastAsia="仿宋" w:cs="仿宋"/>
                <w:sz w:val="24"/>
              </w:rPr>
            </w:pPr>
            <w:r>
              <w:rPr>
                <w:rFonts w:hint="eastAsia" w:ascii="宋体" w:hAnsi="宋体" w:eastAsia="宋体" w:cs="宋体"/>
                <w:b w:val="0"/>
                <w:color w:val="000000"/>
                <w:kern w:val="0"/>
                <w:sz w:val="21"/>
                <w:lang w:bidi="ar"/>
              </w:rPr>
              <w:t>封闭赛场</w:t>
            </w:r>
          </w:p>
        </w:tc>
      </w:tr>
      <w:tr w14:paraId="510C6B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restart"/>
            <w:tcBorders>
              <w:top w:val="single" w:color="auto" w:sz="4" w:space="0"/>
              <w:left w:val="single" w:color="auto" w:sz="4" w:space="0"/>
              <w:bottom w:val="single" w:color="auto" w:sz="4" w:space="0"/>
              <w:right w:val="single" w:color="auto" w:sz="4" w:space="0"/>
            </w:tcBorders>
            <w:vAlign w:val="center"/>
          </w:tcPr>
          <w:p w14:paraId="4E21DF54">
            <w:pPr>
              <w:spacing w:before="0" w:after="0" w:line="540" w:lineRule="exact"/>
              <w:ind w:left="0" w:right="0" w:firstLine="0"/>
              <w:jc w:val="center"/>
              <w:rPr>
                <w:rFonts w:ascii="仿宋" w:hAnsi="仿宋" w:eastAsia="仿宋" w:cs="仿宋"/>
                <w:spacing w:val="-10"/>
                <w:sz w:val="24"/>
              </w:rPr>
            </w:pPr>
            <w:r>
              <w:rPr>
                <w:rFonts w:hint="eastAsia" w:ascii="宋体" w:hAnsi="宋体" w:eastAsia="宋体" w:cs="宋体"/>
                <w:b w:val="0"/>
                <w:spacing w:val="-10"/>
                <w:sz w:val="21"/>
              </w:rPr>
              <w:t>第二天</w:t>
            </w:r>
          </w:p>
          <w:p w14:paraId="04818424">
            <w:pPr>
              <w:spacing w:before="0" w:after="0" w:line="540" w:lineRule="exact"/>
              <w:ind w:left="0" w:right="0" w:firstLine="0"/>
              <w:jc w:val="center"/>
              <w:rPr>
                <w:rFonts w:hint="eastAsia" w:ascii="仿宋" w:hAnsi="仿宋" w:eastAsia="仿宋" w:cs="仿宋"/>
                <w:spacing w:val="-10"/>
                <w:sz w:val="24"/>
              </w:rPr>
            </w:pPr>
            <w:r>
              <w:rPr>
                <w:rFonts w:hint="eastAsia" w:ascii="宋体" w:hAnsi="宋体" w:eastAsia="宋体" w:cs="宋体"/>
                <w:b w:val="0"/>
                <w:spacing w:val="-10"/>
                <w:sz w:val="21"/>
              </w:rPr>
              <w:t>竞赛日</w:t>
            </w:r>
          </w:p>
          <w:p w14:paraId="77B71EC2">
            <w:pPr>
              <w:spacing w:before="0" w:after="0" w:line="540" w:lineRule="exact"/>
              <w:ind w:left="0" w:right="0" w:firstLine="0"/>
              <w:jc w:val="center"/>
              <w:rPr>
                <w:rFonts w:ascii="仿宋" w:hAnsi="仿宋" w:eastAsia="仿宋" w:cs="仿宋"/>
                <w:spacing w:val="-10"/>
                <w:sz w:val="24"/>
              </w:rPr>
            </w:pPr>
            <w:r>
              <w:rPr>
                <w:rFonts w:hint="eastAsia" w:ascii="宋体" w:hAnsi="宋体" w:eastAsia="宋体" w:cs="宋体"/>
                <w:b w:val="0"/>
                <w:spacing w:val="-10"/>
                <w:sz w:val="21"/>
              </w:rPr>
              <w:t>上午</w:t>
            </w:r>
          </w:p>
        </w:tc>
        <w:tc>
          <w:tcPr>
            <w:tcW w:w="2549" w:type="dxa"/>
            <w:tcBorders>
              <w:left w:val="single" w:color="auto" w:sz="4" w:space="0"/>
            </w:tcBorders>
            <w:vAlign w:val="center"/>
          </w:tcPr>
          <w:p w14:paraId="4723F5D5">
            <w:pPr>
              <w:widowControl/>
              <w:spacing w:before="0" w:after="0" w:line="540" w:lineRule="exact"/>
              <w:ind w:left="0" w:right="0" w:firstLine="0"/>
              <w:jc w:val="center"/>
              <w:textAlignment w:val="center"/>
              <w:rPr>
                <w:rFonts w:hint="eastAsia" w:ascii="仿宋" w:hAnsi="仿宋" w:eastAsia="仿宋" w:cs="仿宋"/>
                <w:sz w:val="24"/>
              </w:rPr>
            </w:pPr>
            <w:r>
              <w:rPr>
                <w:rFonts w:hint="eastAsia" w:ascii="宋体" w:hAnsi="宋体" w:eastAsia="宋体" w:cs="宋体"/>
                <w:b w:val="0"/>
                <w:color w:val="000000"/>
                <w:kern w:val="0"/>
                <w:sz w:val="21"/>
                <w:lang w:bidi="ar"/>
              </w:rPr>
              <w:t>07:00-07:30</w:t>
            </w:r>
          </w:p>
        </w:tc>
        <w:tc>
          <w:tcPr>
            <w:tcW w:w="5094" w:type="dxa"/>
            <w:vAlign w:val="center"/>
          </w:tcPr>
          <w:p w14:paraId="499AC1DF">
            <w:pPr>
              <w:spacing w:before="0" w:after="0" w:line="540" w:lineRule="exact"/>
              <w:ind w:left="0" w:right="0" w:firstLine="0"/>
              <w:jc w:val="center"/>
              <w:rPr>
                <w:rFonts w:hint="eastAsia" w:ascii="仿宋" w:hAnsi="仿宋" w:eastAsia="仿宋" w:cs="仿宋"/>
                <w:sz w:val="24"/>
              </w:rPr>
            </w:pPr>
            <w:r>
              <w:rPr>
                <w:rFonts w:hint="eastAsia" w:ascii="宋体" w:hAnsi="宋体" w:eastAsia="宋体" w:cs="宋体"/>
                <w:b w:val="0"/>
                <w:spacing w:val="9"/>
                <w:sz w:val="21"/>
                <w:lang w:bidi="ar"/>
              </w:rPr>
              <w:t>参</w:t>
            </w:r>
            <w:r>
              <w:rPr>
                <w:rFonts w:hint="eastAsia" w:ascii="宋体" w:hAnsi="宋体" w:eastAsia="宋体" w:cs="宋体"/>
                <w:b w:val="0"/>
                <w:spacing w:val="7"/>
                <w:sz w:val="21"/>
                <w:lang w:bidi="ar"/>
              </w:rPr>
              <w:t>赛队检录入场</w:t>
            </w:r>
          </w:p>
        </w:tc>
      </w:tr>
      <w:tr w14:paraId="361B6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top w:val="single" w:color="auto" w:sz="4" w:space="0"/>
              <w:left w:val="single" w:color="auto" w:sz="4" w:space="0"/>
              <w:bottom w:val="single" w:color="auto" w:sz="4" w:space="0"/>
              <w:right w:val="single" w:color="auto" w:sz="4" w:space="0"/>
            </w:tcBorders>
          </w:tcPr>
          <w:p w14:paraId="6485892F">
            <w:pPr>
              <w:rPr>
                <w:rFonts w:hint="eastAsia" w:ascii="仿宋" w:hAnsi="仿宋" w:eastAsia="仿宋" w:cs="仿宋"/>
                <w:sz w:val="24"/>
              </w:rPr>
            </w:pPr>
          </w:p>
        </w:tc>
        <w:tc>
          <w:tcPr>
            <w:tcW w:w="2549" w:type="dxa"/>
            <w:tcBorders>
              <w:left w:val="single" w:color="auto" w:sz="4" w:space="0"/>
            </w:tcBorders>
            <w:vAlign w:val="center"/>
          </w:tcPr>
          <w:p w14:paraId="71ECAEEE">
            <w:pPr>
              <w:widowControl/>
              <w:spacing w:before="0" w:after="0" w:line="540" w:lineRule="exact"/>
              <w:ind w:left="0" w:right="0" w:firstLine="0"/>
              <w:jc w:val="center"/>
              <w:textAlignment w:val="center"/>
              <w:rPr>
                <w:rFonts w:hint="eastAsia" w:ascii="仿宋" w:hAnsi="仿宋" w:eastAsia="仿宋" w:cs="仿宋"/>
                <w:sz w:val="24"/>
              </w:rPr>
            </w:pPr>
            <w:r>
              <w:rPr>
                <w:rFonts w:hint="eastAsia" w:ascii="宋体" w:hAnsi="宋体" w:eastAsia="宋体" w:cs="宋体"/>
                <w:b w:val="0"/>
                <w:color w:val="000000"/>
                <w:kern w:val="0"/>
                <w:sz w:val="21"/>
                <w:lang w:bidi="ar"/>
              </w:rPr>
              <w:t>07:40-08:20</w:t>
            </w:r>
          </w:p>
        </w:tc>
        <w:tc>
          <w:tcPr>
            <w:tcW w:w="5094" w:type="dxa"/>
            <w:vAlign w:val="center"/>
          </w:tcPr>
          <w:p w14:paraId="1FFFDF04">
            <w:pPr>
              <w:spacing w:before="0" w:after="0" w:line="540" w:lineRule="exact"/>
              <w:ind w:left="0" w:right="0" w:firstLine="0"/>
              <w:jc w:val="center"/>
              <w:rPr>
                <w:rFonts w:hint="eastAsia" w:ascii="仿宋" w:hAnsi="仿宋" w:eastAsia="仿宋" w:cs="仿宋"/>
                <w:sz w:val="24"/>
              </w:rPr>
            </w:pPr>
            <w:r>
              <w:rPr>
                <w:rFonts w:hint="eastAsia" w:ascii="宋体" w:hAnsi="宋体" w:eastAsia="宋体" w:cs="宋体"/>
                <w:b w:val="0"/>
                <w:spacing w:val="15"/>
                <w:sz w:val="21"/>
                <w:lang w:bidi="ar"/>
              </w:rPr>
              <w:t>1+X 物流职业素养测试</w:t>
            </w:r>
          </w:p>
        </w:tc>
      </w:tr>
      <w:tr w14:paraId="119EE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top w:val="single" w:color="auto" w:sz="4" w:space="0"/>
              <w:left w:val="single" w:color="auto" w:sz="4" w:space="0"/>
              <w:bottom w:val="single" w:color="auto" w:sz="4" w:space="0"/>
              <w:right w:val="single" w:color="auto" w:sz="4" w:space="0"/>
            </w:tcBorders>
          </w:tcPr>
          <w:p w14:paraId="55653AA0">
            <w:pPr>
              <w:rPr>
                <w:rFonts w:hint="eastAsia" w:ascii="仿宋" w:hAnsi="仿宋" w:eastAsia="仿宋" w:cs="仿宋"/>
                <w:sz w:val="24"/>
              </w:rPr>
            </w:pPr>
          </w:p>
        </w:tc>
        <w:tc>
          <w:tcPr>
            <w:tcW w:w="2549" w:type="dxa"/>
            <w:tcBorders>
              <w:left w:val="single" w:color="auto" w:sz="4" w:space="0"/>
            </w:tcBorders>
            <w:vAlign w:val="center"/>
          </w:tcPr>
          <w:p w14:paraId="2786F45A">
            <w:pPr>
              <w:widowControl/>
              <w:spacing w:before="0" w:after="0" w:line="540" w:lineRule="exact"/>
              <w:ind w:left="0" w:right="0" w:firstLine="0"/>
              <w:jc w:val="center"/>
              <w:textAlignment w:val="center"/>
              <w:rPr>
                <w:rFonts w:hint="eastAsia" w:ascii="仿宋" w:hAnsi="仿宋" w:eastAsia="仿宋" w:cs="仿宋"/>
                <w:sz w:val="24"/>
              </w:rPr>
            </w:pPr>
            <w:r>
              <w:rPr>
                <w:rFonts w:hint="eastAsia" w:ascii="宋体" w:hAnsi="宋体" w:eastAsia="宋体" w:cs="宋体"/>
                <w:b w:val="0"/>
                <w:color w:val="000000"/>
                <w:kern w:val="0"/>
                <w:sz w:val="21"/>
                <w:lang w:bidi="ar"/>
              </w:rPr>
              <w:t>08:30-12:30</w:t>
            </w:r>
          </w:p>
        </w:tc>
        <w:tc>
          <w:tcPr>
            <w:tcW w:w="5094" w:type="dxa"/>
            <w:vAlign w:val="center"/>
          </w:tcPr>
          <w:p w14:paraId="7F58ED91">
            <w:pPr>
              <w:spacing w:before="0" w:after="0" w:line="540" w:lineRule="exact"/>
              <w:ind w:left="0" w:right="0" w:firstLine="0"/>
              <w:jc w:val="center"/>
              <w:rPr>
                <w:rFonts w:hint="eastAsia" w:ascii="仿宋" w:hAnsi="仿宋" w:eastAsia="仿宋" w:cs="仿宋"/>
                <w:sz w:val="24"/>
                <w:lang w:eastAsia="zh-Hans"/>
              </w:rPr>
            </w:pPr>
            <w:r>
              <w:rPr>
                <w:rFonts w:hint="eastAsia" w:ascii="宋体" w:hAnsi="宋体" w:eastAsia="宋体" w:cs="宋体"/>
                <w:b w:val="0"/>
                <w:spacing w:val="4"/>
                <w:sz w:val="21"/>
                <w:lang w:bidi="ar"/>
              </w:rPr>
              <w:t>智慧物流系统规划仿真与方案设计</w:t>
            </w:r>
          </w:p>
        </w:tc>
      </w:tr>
      <w:tr w14:paraId="15DAC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tcBorders>
              <w:top w:val="single" w:color="auto" w:sz="4" w:space="0"/>
              <w:left w:val="single" w:color="auto" w:sz="4" w:space="0"/>
              <w:bottom w:val="single" w:color="auto" w:sz="4" w:space="0"/>
              <w:right w:val="single" w:color="auto" w:sz="4" w:space="0"/>
            </w:tcBorders>
            <w:vAlign w:val="center"/>
          </w:tcPr>
          <w:p w14:paraId="1749D86F">
            <w:pPr>
              <w:spacing w:before="0" w:after="0" w:line="540" w:lineRule="exact"/>
              <w:ind w:left="0" w:right="0" w:firstLine="0"/>
              <w:jc w:val="center"/>
              <w:rPr>
                <w:rFonts w:hint="eastAsia" w:ascii="仿宋" w:hAnsi="仿宋" w:eastAsia="仿宋" w:cs="仿宋"/>
                <w:spacing w:val="-16"/>
                <w:sz w:val="24"/>
              </w:rPr>
            </w:pPr>
            <w:r>
              <w:rPr>
                <w:rFonts w:hint="eastAsia" w:ascii="宋体" w:hAnsi="宋体" w:eastAsia="宋体" w:cs="宋体"/>
                <w:b w:val="0"/>
                <w:spacing w:val="-16"/>
                <w:sz w:val="21"/>
              </w:rPr>
              <w:t>第二天</w:t>
            </w:r>
          </w:p>
          <w:p w14:paraId="0700D512">
            <w:pPr>
              <w:spacing w:before="0" w:after="0" w:line="540" w:lineRule="exact"/>
              <w:ind w:left="0" w:right="0" w:firstLine="0"/>
              <w:jc w:val="center"/>
              <w:rPr>
                <w:rFonts w:ascii="仿宋" w:hAnsi="仿宋" w:eastAsia="仿宋" w:cs="仿宋"/>
                <w:spacing w:val="-16"/>
                <w:sz w:val="24"/>
              </w:rPr>
            </w:pPr>
            <w:r>
              <w:rPr>
                <w:rFonts w:hint="eastAsia" w:ascii="宋体" w:hAnsi="宋体" w:eastAsia="宋体" w:cs="宋体"/>
                <w:b w:val="0"/>
                <w:spacing w:val="-16"/>
                <w:sz w:val="21"/>
              </w:rPr>
              <w:t>中场休息</w:t>
            </w:r>
          </w:p>
        </w:tc>
        <w:tc>
          <w:tcPr>
            <w:tcW w:w="2549" w:type="dxa"/>
            <w:tcBorders>
              <w:left w:val="single" w:color="auto" w:sz="4" w:space="0"/>
            </w:tcBorders>
            <w:vAlign w:val="center"/>
          </w:tcPr>
          <w:p w14:paraId="45FAD69A">
            <w:pPr>
              <w:spacing w:before="0" w:after="0" w:line="540" w:lineRule="exact"/>
              <w:ind w:left="0" w:right="0" w:firstLine="712" w:firstLineChars="400"/>
              <w:jc w:val="both"/>
              <w:rPr>
                <w:rFonts w:ascii="仿宋" w:hAnsi="仿宋" w:eastAsia="仿宋" w:cs="仿宋"/>
                <w:spacing w:val="-16"/>
                <w:sz w:val="24"/>
              </w:rPr>
            </w:pPr>
            <w:r>
              <w:rPr>
                <w:rFonts w:hint="eastAsia" w:ascii="宋体" w:hAnsi="宋体" w:eastAsia="宋体" w:cs="宋体"/>
                <w:b w:val="0"/>
                <w:spacing w:val="-16"/>
                <w:sz w:val="21"/>
              </w:rPr>
              <w:t>12:30-13:59</w:t>
            </w:r>
          </w:p>
        </w:tc>
        <w:tc>
          <w:tcPr>
            <w:tcW w:w="5094" w:type="dxa"/>
            <w:vAlign w:val="center"/>
          </w:tcPr>
          <w:p w14:paraId="43079B3A">
            <w:pPr>
              <w:spacing w:before="0" w:after="0" w:line="540" w:lineRule="exact"/>
              <w:ind w:left="0" w:right="0" w:firstLine="0"/>
              <w:jc w:val="center"/>
              <w:rPr>
                <w:rFonts w:ascii="仿宋" w:hAnsi="仿宋" w:eastAsia="仿宋" w:cs="仿宋"/>
                <w:spacing w:val="9"/>
                <w:sz w:val="24"/>
                <w:lang w:bidi="ar"/>
              </w:rPr>
            </w:pPr>
            <w:r>
              <w:rPr>
                <w:rFonts w:hint="eastAsia" w:ascii="宋体" w:hAnsi="宋体" w:eastAsia="宋体" w:cs="宋体"/>
                <w:b w:val="0"/>
                <w:spacing w:val="9"/>
                <w:sz w:val="21"/>
                <w:lang w:bidi="ar"/>
              </w:rPr>
              <w:t>午休+午餐</w:t>
            </w:r>
          </w:p>
        </w:tc>
      </w:tr>
      <w:tr w14:paraId="008EE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restart"/>
            <w:tcBorders>
              <w:top w:val="single" w:color="auto" w:sz="4" w:space="0"/>
              <w:left w:val="single" w:color="auto" w:sz="4" w:space="0"/>
              <w:right w:val="single" w:color="auto" w:sz="4" w:space="0"/>
            </w:tcBorders>
            <w:vAlign w:val="center"/>
          </w:tcPr>
          <w:p w14:paraId="05DB68DC">
            <w:pPr>
              <w:spacing w:before="0" w:after="0" w:line="540" w:lineRule="exact"/>
              <w:ind w:left="0" w:right="0" w:firstLine="0"/>
              <w:jc w:val="center"/>
              <w:rPr>
                <w:rFonts w:hint="eastAsia" w:ascii="仿宋" w:hAnsi="仿宋" w:eastAsia="仿宋" w:cs="仿宋"/>
                <w:spacing w:val="-16"/>
                <w:sz w:val="24"/>
              </w:rPr>
            </w:pPr>
            <w:r>
              <w:rPr>
                <w:rFonts w:hint="eastAsia" w:ascii="宋体" w:hAnsi="宋体" w:eastAsia="宋体" w:cs="宋体"/>
                <w:b w:val="0"/>
                <w:spacing w:val="-16"/>
                <w:sz w:val="21"/>
              </w:rPr>
              <w:t>第二天</w:t>
            </w:r>
          </w:p>
          <w:p w14:paraId="4D5261B7">
            <w:pPr>
              <w:spacing w:before="0" w:after="0" w:line="540" w:lineRule="exact"/>
              <w:ind w:left="0" w:right="0" w:firstLine="0"/>
              <w:jc w:val="center"/>
              <w:rPr>
                <w:rFonts w:hint="eastAsia" w:ascii="仿宋" w:hAnsi="仿宋" w:eastAsia="仿宋" w:cs="仿宋"/>
                <w:spacing w:val="-16"/>
                <w:sz w:val="24"/>
              </w:rPr>
            </w:pPr>
            <w:r>
              <w:rPr>
                <w:rFonts w:hint="eastAsia" w:ascii="宋体" w:hAnsi="宋体" w:eastAsia="宋体" w:cs="宋体"/>
                <w:b w:val="0"/>
                <w:spacing w:val="-16"/>
                <w:sz w:val="21"/>
              </w:rPr>
              <w:t>竞赛日</w:t>
            </w:r>
          </w:p>
          <w:p w14:paraId="6C7B803F">
            <w:pPr>
              <w:spacing w:before="0" w:after="0" w:line="540" w:lineRule="exact"/>
              <w:ind w:left="0" w:right="0" w:firstLine="0"/>
              <w:jc w:val="center"/>
              <w:rPr>
                <w:rFonts w:hint="eastAsia" w:ascii="仿宋" w:hAnsi="仿宋" w:eastAsia="仿宋" w:cs="仿宋"/>
                <w:spacing w:val="-16"/>
                <w:sz w:val="24"/>
              </w:rPr>
            </w:pPr>
            <w:r>
              <w:rPr>
                <w:rFonts w:hint="eastAsia" w:ascii="宋体" w:hAnsi="宋体" w:eastAsia="宋体" w:cs="宋体"/>
                <w:b w:val="0"/>
                <w:spacing w:val="-16"/>
                <w:sz w:val="21"/>
              </w:rPr>
              <w:t>下午</w:t>
            </w:r>
          </w:p>
        </w:tc>
        <w:tc>
          <w:tcPr>
            <w:tcW w:w="2549" w:type="dxa"/>
            <w:tcBorders>
              <w:left w:val="single" w:color="auto" w:sz="4" w:space="0"/>
            </w:tcBorders>
            <w:vAlign w:val="center"/>
          </w:tcPr>
          <w:p w14:paraId="58F3D7C3">
            <w:pPr>
              <w:spacing w:before="0" w:after="0" w:line="540" w:lineRule="exact"/>
              <w:ind w:left="0" w:right="0" w:firstLine="534" w:firstLineChars="300"/>
              <w:jc w:val="both"/>
              <w:rPr>
                <w:rFonts w:ascii="仿宋" w:hAnsi="仿宋" w:eastAsia="仿宋" w:cs="仿宋"/>
                <w:spacing w:val="-16"/>
                <w:sz w:val="24"/>
              </w:rPr>
            </w:pPr>
            <w:r>
              <w:rPr>
                <w:rFonts w:hint="eastAsia" w:ascii="宋体" w:hAnsi="宋体" w:eastAsia="宋体" w:cs="宋体"/>
                <w:b w:val="0"/>
                <w:spacing w:val="-16"/>
                <w:sz w:val="21"/>
              </w:rPr>
              <w:t>14:00-14:20</w:t>
            </w:r>
          </w:p>
        </w:tc>
        <w:tc>
          <w:tcPr>
            <w:tcW w:w="5094" w:type="dxa"/>
            <w:vAlign w:val="center"/>
          </w:tcPr>
          <w:p w14:paraId="1DA93CD1">
            <w:pPr>
              <w:spacing w:before="0" w:after="0" w:line="540" w:lineRule="exact"/>
              <w:ind w:left="0" w:right="0" w:firstLine="0"/>
              <w:jc w:val="center"/>
              <w:rPr>
                <w:rFonts w:ascii="仿宋" w:hAnsi="仿宋" w:eastAsia="仿宋" w:cs="仿宋"/>
                <w:spacing w:val="9"/>
                <w:sz w:val="24"/>
                <w:lang w:bidi="ar"/>
              </w:rPr>
            </w:pPr>
            <w:r>
              <w:rPr>
                <w:rFonts w:hint="eastAsia" w:ascii="宋体" w:hAnsi="宋体" w:eastAsia="宋体" w:cs="宋体"/>
                <w:b w:val="0"/>
                <w:spacing w:val="9"/>
                <w:sz w:val="21"/>
                <w:lang w:bidi="ar"/>
              </w:rPr>
              <w:t>参赛队检录入场+序号抽签</w:t>
            </w:r>
          </w:p>
        </w:tc>
      </w:tr>
      <w:tr w14:paraId="6D34E0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04C46E69">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7ECC58F4">
            <w:pPr>
              <w:spacing w:before="0" w:after="0" w:line="540" w:lineRule="exact"/>
              <w:ind w:left="0" w:right="0" w:firstLine="534" w:firstLineChars="300"/>
              <w:jc w:val="both"/>
              <w:rPr>
                <w:rFonts w:ascii="仿宋" w:hAnsi="仿宋" w:eastAsia="仿宋" w:cs="仿宋"/>
                <w:spacing w:val="-16"/>
                <w:sz w:val="24"/>
              </w:rPr>
            </w:pPr>
            <w:r>
              <w:rPr>
                <w:rFonts w:hint="eastAsia" w:ascii="宋体" w:hAnsi="宋体" w:eastAsia="宋体" w:cs="宋体"/>
                <w:b w:val="0"/>
                <w:spacing w:val="-16"/>
                <w:sz w:val="21"/>
              </w:rPr>
              <w:t>14:30-14:45 1队</w:t>
            </w:r>
          </w:p>
        </w:tc>
        <w:tc>
          <w:tcPr>
            <w:tcW w:w="5094" w:type="dxa"/>
            <w:vMerge w:val="restart"/>
            <w:vAlign w:val="center"/>
          </w:tcPr>
          <w:p w14:paraId="007D97CA">
            <w:pPr>
              <w:spacing w:before="0" w:after="0" w:line="540" w:lineRule="exact"/>
              <w:ind w:left="0" w:right="0" w:firstLine="0"/>
              <w:jc w:val="center"/>
              <w:rPr>
                <w:rFonts w:ascii="仿宋" w:hAnsi="仿宋" w:eastAsia="仿宋" w:cs="仿宋"/>
                <w:spacing w:val="9"/>
                <w:sz w:val="24"/>
                <w:lang w:bidi="ar"/>
              </w:rPr>
            </w:pPr>
            <w:r>
              <w:rPr>
                <w:rFonts w:hint="eastAsia" w:ascii="宋体" w:hAnsi="宋体" w:eastAsia="宋体" w:cs="宋体"/>
                <w:b w:val="0"/>
                <w:spacing w:val="9"/>
                <w:sz w:val="21"/>
                <w:lang w:bidi="ar"/>
              </w:rPr>
              <w:t>方案汇报答辩模块比赛</w:t>
            </w:r>
          </w:p>
        </w:tc>
      </w:tr>
      <w:tr w14:paraId="431BD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20935ADF">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5011D9C7">
            <w:pPr>
              <w:spacing w:before="0" w:after="0" w:line="540" w:lineRule="exact"/>
              <w:ind w:left="0" w:right="0" w:firstLine="534" w:firstLineChars="300"/>
              <w:jc w:val="both"/>
              <w:rPr>
                <w:rFonts w:hint="eastAsia" w:ascii="仿宋" w:hAnsi="仿宋" w:eastAsia="仿宋" w:cs="仿宋"/>
                <w:spacing w:val="-16"/>
                <w:sz w:val="24"/>
              </w:rPr>
            </w:pPr>
            <w:r>
              <w:rPr>
                <w:rFonts w:hint="eastAsia" w:ascii="宋体" w:hAnsi="宋体" w:eastAsia="宋体" w:cs="宋体"/>
                <w:b w:val="0"/>
                <w:spacing w:val="-16"/>
                <w:sz w:val="21"/>
              </w:rPr>
              <w:t>14:50-15:05 2队</w:t>
            </w:r>
          </w:p>
        </w:tc>
        <w:tc>
          <w:tcPr>
            <w:tcW w:w="5094" w:type="dxa"/>
            <w:vMerge w:val="continue"/>
            <w:vAlign w:val="center"/>
          </w:tcPr>
          <w:p w14:paraId="57DC8D0B">
            <w:pPr>
              <w:spacing w:before="52"/>
              <w:jc w:val="center"/>
              <w:rPr>
                <w:rFonts w:hint="eastAsia" w:ascii="仿宋" w:hAnsi="仿宋" w:eastAsia="仿宋" w:cs="仿宋"/>
                <w:spacing w:val="9"/>
                <w:sz w:val="24"/>
                <w:lang w:bidi="ar"/>
              </w:rPr>
            </w:pPr>
          </w:p>
        </w:tc>
      </w:tr>
      <w:tr w14:paraId="01F40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1D65CF30">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65CA2181">
            <w:pPr>
              <w:spacing w:before="0" w:after="0" w:line="540" w:lineRule="exact"/>
              <w:ind w:left="0" w:right="0" w:firstLine="534" w:firstLineChars="300"/>
              <w:jc w:val="both"/>
              <w:rPr>
                <w:rFonts w:ascii="仿宋" w:hAnsi="仿宋" w:eastAsia="仿宋" w:cs="仿宋"/>
                <w:spacing w:val="-16"/>
                <w:sz w:val="24"/>
              </w:rPr>
            </w:pPr>
            <w:r>
              <w:rPr>
                <w:rFonts w:hint="eastAsia" w:ascii="宋体" w:hAnsi="宋体" w:eastAsia="宋体" w:cs="宋体"/>
                <w:b w:val="0"/>
                <w:spacing w:val="-16"/>
                <w:sz w:val="21"/>
              </w:rPr>
              <w:t>15:10-15:25 3队</w:t>
            </w:r>
          </w:p>
        </w:tc>
        <w:tc>
          <w:tcPr>
            <w:tcW w:w="5094" w:type="dxa"/>
            <w:vMerge w:val="continue"/>
            <w:vAlign w:val="center"/>
          </w:tcPr>
          <w:p w14:paraId="16742D21">
            <w:pPr>
              <w:spacing w:before="52"/>
              <w:jc w:val="center"/>
              <w:rPr>
                <w:rFonts w:hint="eastAsia" w:ascii="仿宋" w:hAnsi="仿宋" w:eastAsia="仿宋" w:cs="仿宋"/>
                <w:spacing w:val="9"/>
                <w:sz w:val="24"/>
                <w:lang w:bidi="ar"/>
              </w:rPr>
            </w:pPr>
          </w:p>
        </w:tc>
      </w:tr>
      <w:tr w14:paraId="4261A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09D49D21">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3C9CA9F9">
            <w:pPr>
              <w:spacing w:before="0" w:after="0" w:line="540" w:lineRule="exact"/>
              <w:ind w:left="0" w:right="0" w:firstLine="534" w:firstLineChars="300"/>
              <w:jc w:val="both"/>
              <w:rPr>
                <w:rFonts w:hint="eastAsia" w:ascii="仿宋" w:hAnsi="仿宋" w:eastAsia="仿宋" w:cs="仿宋"/>
                <w:spacing w:val="-16"/>
                <w:sz w:val="24"/>
              </w:rPr>
            </w:pPr>
            <w:r>
              <w:rPr>
                <w:rFonts w:hint="eastAsia" w:ascii="宋体" w:hAnsi="宋体" w:eastAsia="宋体" w:cs="宋体"/>
                <w:b w:val="0"/>
                <w:spacing w:val="-16"/>
                <w:sz w:val="21"/>
              </w:rPr>
              <w:t>15:30-15:45 4队</w:t>
            </w:r>
          </w:p>
        </w:tc>
        <w:tc>
          <w:tcPr>
            <w:tcW w:w="5094" w:type="dxa"/>
            <w:vMerge w:val="continue"/>
            <w:vAlign w:val="center"/>
          </w:tcPr>
          <w:p w14:paraId="61317BA7">
            <w:pPr>
              <w:spacing w:before="52"/>
              <w:jc w:val="center"/>
              <w:rPr>
                <w:rFonts w:hint="eastAsia" w:ascii="仿宋" w:hAnsi="仿宋" w:eastAsia="仿宋" w:cs="仿宋"/>
                <w:spacing w:val="9"/>
                <w:sz w:val="24"/>
                <w:lang w:bidi="ar"/>
              </w:rPr>
            </w:pPr>
          </w:p>
        </w:tc>
      </w:tr>
      <w:tr w14:paraId="0AEFDB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3862EB01">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45DE613A">
            <w:pPr>
              <w:spacing w:before="0" w:after="0" w:line="540" w:lineRule="exact"/>
              <w:ind w:left="0" w:right="0" w:firstLine="534" w:firstLineChars="300"/>
              <w:jc w:val="both"/>
              <w:rPr>
                <w:rFonts w:hint="eastAsia" w:ascii="仿宋" w:hAnsi="仿宋" w:eastAsia="仿宋" w:cs="仿宋"/>
                <w:spacing w:val="-16"/>
                <w:sz w:val="24"/>
              </w:rPr>
            </w:pPr>
            <w:r>
              <w:rPr>
                <w:rFonts w:hint="eastAsia" w:ascii="宋体" w:hAnsi="宋体" w:eastAsia="宋体" w:cs="宋体"/>
                <w:b w:val="0"/>
                <w:spacing w:val="-16"/>
                <w:sz w:val="21"/>
              </w:rPr>
              <w:t>15:50-16:05 5队</w:t>
            </w:r>
          </w:p>
        </w:tc>
        <w:tc>
          <w:tcPr>
            <w:tcW w:w="5094" w:type="dxa"/>
            <w:vMerge w:val="continue"/>
            <w:vAlign w:val="center"/>
          </w:tcPr>
          <w:p w14:paraId="7F44BC11">
            <w:pPr>
              <w:spacing w:before="52"/>
              <w:jc w:val="center"/>
              <w:rPr>
                <w:rFonts w:hint="eastAsia" w:ascii="仿宋" w:hAnsi="仿宋" w:eastAsia="仿宋" w:cs="仿宋"/>
                <w:spacing w:val="9"/>
                <w:sz w:val="24"/>
                <w:lang w:bidi="ar"/>
              </w:rPr>
            </w:pPr>
          </w:p>
        </w:tc>
      </w:tr>
      <w:tr w14:paraId="0D18D8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2ECE2D18">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36A4AB1D">
            <w:pPr>
              <w:spacing w:before="0" w:after="0" w:line="540" w:lineRule="exact"/>
              <w:ind w:left="0" w:right="0" w:firstLine="534" w:firstLineChars="300"/>
              <w:jc w:val="both"/>
              <w:rPr>
                <w:rFonts w:hint="eastAsia" w:ascii="仿宋" w:hAnsi="仿宋" w:eastAsia="仿宋" w:cs="仿宋"/>
                <w:spacing w:val="-16"/>
                <w:sz w:val="24"/>
              </w:rPr>
            </w:pPr>
            <w:r>
              <w:rPr>
                <w:rFonts w:hint="eastAsia" w:ascii="宋体" w:hAnsi="宋体" w:eastAsia="宋体" w:cs="宋体"/>
                <w:b w:val="0"/>
                <w:spacing w:val="-16"/>
                <w:sz w:val="21"/>
              </w:rPr>
              <w:t>16:10-16:25 6队</w:t>
            </w:r>
          </w:p>
        </w:tc>
        <w:tc>
          <w:tcPr>
            <w:tcW w:w="5094" w:type="dxa"/>
            <w:vMerge w:val="continue"/>
            <w:vAlign w:val="center"/>
          </w:tcPr>
          <w:p w14:paraId="6645569E">
            <w:pPr>
              <w:spacing w:before="52"/>
              <w:jc w:val="center"/>
              <w:rPr>
                <w:rFonts w:hint="eastAsia" w:ascii="仿宋" w:hAnsi="仿宋" w:eastAsia="仿宋" w:cs="仿宋"/>
                <w:spacing w:val="9"/>
                <w:sz w:val="24"/>
                <w:lang w:bidi="ar"/>
              </w:rPr>
            </w:pPr>
          </w:p>
        </w:tc>
      </w:tr>
      <w:tr w14:paraId="6E811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0D364599">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7618C0AA">
            <w:pPr>
              <w:spacing w:before="0" w:after="0" w:line="540" w:lineRule="exact"/>
              <w:ind w:left="0" w:right="0" w:firstLine="534" w:firstLineChars="300"/>
              <w:jc w:val="both"/>
              <w:rPr>
                <w:rFonts w:hint="eastAsia" w:ascii="仿宋" w:hAnsi="仿宋" w:eastAsia="仿宋" w:cs="仿宋"/>
                <w:spacing w:val="-16"/>
                <w:sz w:val="24"/>
              </w:rPr>
            </w:pPr>
            <w:r>
              <w:rPr>
                <w:rFonts w:hint="eastAsia" w:ascii="宋体" w:hAnsi="宋体" w:eastAsia="宋体" w:cs="宋体"/>
                <w:b w:val="0"/>
                <w:spacing w:val="-16"/>
                <w:sz w:val="21"/>
              </w:rPr>
              <w:t>16:30-16:45 7队</w:t>
            </w:r>
          </w:p>
        </w:tc>
        <w:tc>
          <w:tcPr>
            <w:tcW w:w="5094" w:type="dxa"/>
            <w:vMerge w:val="continue"/>
            <w:vAlign w:val="center"/>
          </w:tcPr>
          <w:p w14:paraId="2EA441E7">
            <w:pPr>
              <w:spacing w:before="52"/>
              <w:jc w:val="center"/>
              <w:rPr>
                <w:rFonts w:hint="eastAsia" w:ascii="仿宋" w:hAnsi="仿宋" w:eastAsia="仿宋" w:cs="仿宋"/>
                <w:spacing w:val="9"/>
                <w:sz w:val="24"/>
                <w:lang w:bidi="ar"/>
              </w:rPr>
            </w:pPr>
          </w:p>
        </w:tc>
      </w:tr>
      <w:tr w14:paraId="0222D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6945654D">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264C2CCA">
            <w:pPr>
              <w:spacing w:before="0" w:after="0" w:line="540" w:lineRule="exact"/>
              <w:ind w:left="0" w:right="0" w:firstLine="534" w:firstLineChars="300"/>
              <w:jc w:val="both"/>
              <w:rPr>
                <w:rFonts w:hint="eastAsia" w:ascii="仿宋" w:hAnsi="仿宋" w:eastAsia="仿宋" w:cs="仿宋"/>
                <w:spacing w:val="-16"/>
                <w:sz w:val="24"/>
              </w:rPr>
            </w:pPr>
            <w:r>
              <w:rPr>
                <w:rFonts w:hint="eastAsia" w:ascii="宋体" w:hAnsi="宋体" w:eastAsia="宋体" w:cs="宋体"/>
                <w:b w:val="0"/>
                <w:spacing w:val="-16"/>
                <w:sz w:val="21"/>
              </w:rPr>
              <w:t>16:50-17:05 8队</w:t>
            </w:r>
          </w:p>
        </w:tc>
        <w:tc>
          <w:tcPr>
            <w:tcW w:w="5094" w:type="dxa"/>
            <w:vMerge w:val="continue"/>
            <w:vAlign w:val="center"/>
          </w:tcPr>
          <w:p w14:paraId="535F17D9">
            <w:pPr>
              <w:spacing w:before="52"/>
              <w:jc w:val="center"/>
              <w:rPr>
                <w:rFonts w:hint="eastAsia" w:ascii="仿宋" w:hAnsi="仿宋" w:eastAsia="仿宋" w:cs="仿宋"/>
                <w:spacing w:val="9"/>
                <w:sz w:val="24"/>
                <w:lang w:bidi="ar"/>
              </w:rPr>
            </w:pPr>
          </w:p>
        </w:tc>
      </w:tr>
      <w:tr w14:paraId="279C5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right w:val="single" w:color="auto" w:sz="4" w:space="0"/>
            </w:tcBorders>
          </w:tcPr>
          <w:p w14:paraId="0CC0648D">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4BDE3297">
            <w:pPr>
              <w:spacing w:before="0" w:after="0" w:line="540" w:lineRule="exact"/>
              <w:ind w:left="0" w:right="0" w:firstLine="534" w:firstLineChars="300"/>
              <w:jc w:val="both"/>
              <w:rPr>
                <w:rFonts w:hint="eastAsia" w:ascii="仿宋" w:hAnsi="仿宋" w:eastAsia="仿宋" w:cs="仿宋"/>
                <w:spacing w:val="-16"/>
                <w:sz w:val="24"/>
              </w:rPr>
            </w:pPr>
            <w:r>
              <w:rPr>
                <w:rFonts w:hint="eastAsia" w:ascii="宋体" w:hAnsi="宋体" w:eastAsia="宋体" w:cs="宋体"/>
                <w:b w:val="0"/>
                <w:spacing w:val="-16"/>
                <w:sz w:val="21"/>
              </w:rPr>
              <w:t>17:10-17:25 9队</w:t>
            </w:r>
          </w:p>
        </w:tc>
        <w:tc>
          <w:tcPr>
            <w:tcW w:w="5094" w:type="dxa"/>
            <w:vMerge w:val="continue"/>
            <w:vAlign w:val="center"/>
          </w:tcPr>
          <w:p w14:paraId="2647B2A0">
            <w:pPr>
              <w:spacing w:before="52"/>
              <w:jc w:val="center"/>
              <w:rPr>
                <w:rFonts w:hint="eastAsia" w:ascii="仿宋" w:hAnsi="仿宋" w:eastAsia="仿宋" w:cs="仿宋"/>
                <w:spacing w:val="9"/>
                <w:sz w:val="24"/>
                <w:lang w:bidi="ar"/>
              </w:rPr>
            </w:pPr>
          </w:p>
        </w:tc>
      </w:tr>
      <w:tr w14:paraId="5C61A9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166" w:type="dxa"/>
            <w:vMerge w:val="continue"/>
            <w:tcBorders>
              <w:left w:val="single" w:color="auto" w:sz="4" w:space="0"/>
              <w:bottom w:val="single" w:color="auto" w:sz="4" w:space="0"/>
              <w:right w:val="single" w:color="auto" w:sz="4" w:space="0"/>
            </w:tcBorders>
          </w:tcPr>
          <w:p w14:paraId="34D9551C">
            <w:pPr>
              <w:spacing w:before="65" w:line="232" w:lineRule="auto"/>
              <w:jc w:val="center"/>
              <w:rPr>
                <w:rFonts w:hint="eastAsia" w:ascii="仿宋" w:hAnsi="仿宋" w:eastAsia="仿宋" w:cs="仿宋"/>
                <w:spacing w:val="-16"/>
                <w:sz w:val="24"/>
              </w:rPr>
            </w:pPr>
          </w:p>
        </w:tc>
        <w:tc>
          <w:tcPr>
            <w:tcW w:w="2549" w:type="dxa"/>
            <w:tcBorders>
              <w:left w:val="single" w:color="auto" w:sz="4" w:space="0"/>
            </w:tcBorders>
            <w:vAlign w:val="center"/>
          </w:tcPr>
          <w:p w14:paraId="10A2D70F">
            <w:pPr>
              <w:spacing w:before="0" w:after="0" w:line="540" w:lineRule="exact"/>
              <w:ind w:left="0" w:right="0" w:firstLine="534" w:firstLineChars="300"/>
              <w:jc w:val="both"/>
              <w:rPr>
                <w:rFonts w:ascii="仿宋" w:hAnsi="仿宋" w:eastAsia="仿宋" w:cs="仿宋"/>
                <w:spacing w:val="-16"/>
                <w:sz w:val="24"/>
              </w:rPr>
            </w:pPr>
            <w:r>
              <w:rPr>
                <w:rFonts w:hint="eastAsia" w:ascii="宋体" w:hAnsi="宋体" w:eastAsia="宋体" w:cs="宋体"/>
                <w:b w:val="0"/>
                <w:spacing w:val="-16"/>
                <w:sz w:val="21"/>
              </w:rPr>
              <w:t>17:30-20:00</w:t>
            </w:r>
          </w:p>
        </w:tc>
        <w:tc>
          <w:tcPr>
            <w:tcW w:w="5094" w:type="dxa"/>
            <w:vAlign w:val="center"/>
          </w:tcPr>
          <w:p w14:paraId="522123A7">
            <w:pPr>
              <w:spacing w:before="0" w:after="0" w:line="540" w:lineRule="exact"/>
              <w:ind w:left="0" w:right="0" w:firstLine="0"/>
              <w:jc w:val="center"/>
              <w:rPr>
                <w:rFonts w:ascii="仿宋" w:hAnsi="仿宋" w:eastAsia="仿宋" w:cs="仿宋"/>
                <w:spacing w:val="9"/>
                <w:sz w:val="24"/>
                <w:lang w:bidi="ar"/>
              </w:rPr>
            </w:pPr>
            <w:r>
              <w:rPr>
                <w:rFonts w:hint="eastAsia" w:ascii="宋体" w:hAnsi="宋体" w:eastAsia="宋体" w:cs="宋体"/>
                <w:b w:val="0"/>
                <w:spacing w:val="9"/>
                <w:sz w:val="21"/>
                <w:lang w:bidi="ar"/>
              </w:rPr>
              <w:t>裁判统计、汇总、公布成绩</w:t>
            </w:r>
          </w:p>
        </w:tc>
      </w:tr>
    </w:tbl>
    <w:p w14:paraId="29A76940">
      <w:pPr>
        <w:widowControl/>
        <w:spacing w:before="0" w:after="0" w:line="540" w:lineRule="exact"/>
        <w:ind w:left="0" w:right="0" w:firstLine="560"/>
        <w:jc w:val="both"/>
        <w:outlineLvl w:val="0"/>
        <w:rPr>
          <w:rFonts w:hint="eastAsia" w:ascii="仿宋" w:hAnsi="仿宋" w:eastAsia="仿宋" w:cs="仿宋"/>
          <w:sz w:val="28"/>
          <w:szCs w:val="28"/>
        </w:rPr>
      </w:pPr>
      <w:bookmarkStart w:id="8" w:name="_Toc1830603965"/>
      <w:r>
        <w:rPr>
          <w:rFonts w:hint="eastAsia" w:ascii="黑体" w:hAnsi="黑体" w:eastAsia="黑体" w:cs="黑体"/>
          <w:b w:val="0"/>
          <w:bCs w:val="0"/>
          <w:color w:val="000000"/>
          <w:kern w:val="0"/>
          <w:sz w:val="28"/>
          <w:szCs w:val="28"/>
          <w:lang w:bidi="ar"/>
        </w:rPr>
        <w:t>六、竞赛赛卷</w:t>
      </w:r>
      <w:bookmarkEnd w:id="8"/>
      <w:r>
        <w:rPr>
          <w:rFonts w:hint="eastAsia" w:ascii="黑体" w:hAnsi="黑体" w:eastAsia="黑体" w:cs="黑体"/>
          <w:b w:val="0"/>
          <w:bCs w:val="0"/>
          <w:color w:val="000000"/>
          <w:kern w:val="0"/>
          <w:sz w:val="28"/>
          <w:szCs w:val="28"/>
          <w:lang w:bidi="ar"/>
        </w:rPr>
        <w:t xml:space="preserve"> </w:t>
      </w:r>
    </w:p>
    <w:p w14:paraId="167D8409">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（一）命题流程 </w:t>
      </w:r>
    </w:p>
    <w:p w14:paraId="683F0131">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专家组依据本规程公布的作业要求和考核要点负责编制竞赛用试题，试题与评分标准对应考核模块的知识点、技能点或规范操作要点。</w:t>
      </w:r>
    </w:p>
    <w:p w14:paraId="541DB048">
      <w:pPr>
        <w:widowControl/>
        <w:spacing w:before="0" w:after="0" w:line="540" w:lineRule="exact"/>
        <w:ind w:left="0" w:right="0" w:firstLine="560"/>
        <w:jc w:val="both"/>
        <w:rPr>
          <w:rFonts w:hint="eastAsia" w:ascii="仿宋" w:hAnsi="仿宋" w:eastAsia="仿宋" w:cs="仿宋"/>
          <w:b/>
          <w:bCs/>
          <w:color w:val="000000"/>
          <w:kern w:val="0"/>
          <w:sz w:val="28"/>
          <w:szCs w:val="28"/>
          <w:lang w:bidi="ar"/>
        </w:rPr>
      </w:pPr>
      <w:r>
        <w:rPr>
          <w:rFonts w:hint="eastAsia" w:ascii="楷体_GB2312" w:hAnsi="楷体_GB2312" w:eastAsia="楷体_GB2312" w:cs="楷体_GB2312"/>
          <w:b/>
          <w:bCs/>
          <w:color w:val="000000"/>
          <w:kern w:val="0"/>
          <w:sz w:val="28"/>
          <w:szCs w:val="28"/>
          <w:lang w:bidi="ar"/>
        </w:rPr>
        <w:t>（二）专家命题</w:t>
      </w:r>
    </w:p>
    <w:p w14:paraId="1200A130">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 xml:space="preserve">由专家组封闭式完成比赛试题的具体命题与验证，完成评分细则 </w:t>
      </w:r>
    </w:p>
    <w:p w14:paraId="3D34588C">
      <w:pPr>
        <w:widowControl/>
        <w:spacing w:before="0" w:after="0" w:line="540" w:lineRule="exact"/>
        <w:ind w:right="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 xml:space="preserve">的制定，同时验证比赛试题作业的难易程度和需要的标准工作时间等，最终确定试题的现场裁判评判标准和评分表。在开赛前专家组对裁判进行培训，讲解评分细则。命题专家在比赛过程中作为技术支持专家，不参与直接执裁打分，负责裁判培训、处理现场出现的问题、以及协助裁判长做好技术管理等工作，比赛现场的监督制裁将由独立的纪检监督员负责。专家组须指定专人负责赛题印刷、加密保管、领取和回收工作。 </w:t>
      </w:r>
    </w:p>
    <w:p w14:paraId="1C35CFD9">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（三）赛项说明会</w:t>
      </w:r>
    </w:p>
    <w:p w14:paraId="57737B44">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sz w:val="28"/>
          <w:szCs w:val="28"/>
        </w:rPr>
        <w:t xml:space="preserve">    </w:t>
      </w:r>
      <w:r>
        <w:rPr>
          <w:rFonts w:hint="eastAsia" w:ascii="仿宋_GB2312" w:hAnsi="仿宋_GB2312" w:eastAsia="仿宋_GB2312" w:cs="仿宋_GB2312"/>
          <w:b w:val="0"/>
          <w:color w:val="000000"/>
          <w:kern w:val="0"/>
          <w:sz w:val="28"/>
          <w:szCs w:val="28"/>
          <w:lang w:bidi="ar"/>
        </w:rPr>
        <w:t xml:space="preserve">在赛前召开赛项说明会，结合样题讲解考核要点、竞赛方式、注 </w:t>
      </w:r>
    </w:p>
    <w:p w14:paraId="044CCBD4">
      <w:pPr>
        <w:widowControl/>
        <w:spacing w:before="0" w:after="0" w:line="540" w:lineRule="exact"/>
        <w:ind w:left="0" w:right="0" w:firstLine="56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 xml:space="preserve">意事项等，赛前说明会将于2026年11月18日召开。 </w:t>
      </w:r>
    </w:p>
    <w:p w14:paraId="11343B9E">
      <w:pPr>
        <w:widowControl/>
        <w:numPr>
          <w:ilvl w:val="0"/>
          <w:numId w:val="1"/>
        </w:numPr>
        <w:spacing w:before="0" w:after="0" w:line="540" w:lineRule="exact"/>
        <w:ind w:left="0" w:right="0" w:firstLine="560"/>
        <w:jc w:val="both"/>
        <w:rPr>
          <w:rFonts w:hint="eastAsia" w:ascii="仿宋" w:hAnsi="仿宋" w:eastAsia="仿宋" w:cs="仿宋"/>
          <w:b/>
          <w:bCs/>
          <w:color w:val="000000"/>
          <w:kern w:val="0"/>
          <w:sz w:val="28"/>
          <w:szCs w:val="28"/>
          <w:lang w:eastAsia="zh-Hans" w:bidi="ar"/>
        </w:rPr>
      </w:pPr>
      <w:r>
        <w:rPr>
          <w:rFonts w:hint="eastAsia" w:ascii="仿宋_GB2312" w:hAnsi="仿宋_GB2312" w:eastAsia="仿宋_GB2312" w:cs="仿宋_GB2312"/>
          <w:b w:val="0"/>
          <w:bCs w:val="0"/>
          <w:color w:val="000000"/>
          <w:kern w:val="0"/>
          <w:sz w:val="28"/>
          <w:szCs w:val="28"/>
          <w:lang w:eastAsia="zh-Hans" w:bidi="ar"/>
        </w:rPr>
        <w:t>竞赛样题</w:t>
      </w:r>
    </w:p>
    <w:p w14:paraId="1BDFC756">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楷体_GB2312" w:hAnsi="楷体_GB2312" w:eastAsia="楷体_GB2312" w:cs="楷体_GB2312"/>
          <w:b/>
          <w:color w:val="000000"/>
          <w:kern w:val="0"/>
          <w:sz w:val="28"/>
          <w:szCs w:val="28"/>
          <w:lang w:bidi="ar"/>
        </w:rPr>
        <w:t>(一)1+X 物流职业素养测试模块</w:t>
      </w:r>
    </w:p>
    <w:p w14:paraId="72EEE4CA">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1.参赛队根据提供的赛题完成职业素养、生产安全、环境保护等方面的测试。</w:t>
      </w:r>
    </w:p>
    <w:p w14:paraId="51CBFC36">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（1）【单选题】（分值：1分）仓储最基本的功能是（）。</w:t>
      </w:r>
    </w:p>
    <w:p w14:paraId="199793F0">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A.运输管理</w:t>
      </w:r>
    </w:p>
    <w:p w14:paraId="67131C60">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B.物资储存</w:t>
      </w:r>
    </w:p>
    <w:p w14:paraId="633485E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C.市场营销</w:t>
      </w:r>
    </w:p>
    <w:p w14:paraId="710313B6">
      <w:pPr>
        <w:widowControl/>
        <w:spacing w:before="0" w:after="0" w:line="540" w:lineRule="exact"/>
        <w:ind w:left="0" w:right="0" w:firstLine="560" w:firstLineChars="200"/>
        <w:jc w:val="both"/>
        <w:rPr>
          <w:rFonts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D.生产加工</w:t>
      </w:r>
    </w:p>
    <w:p w14:paraId="1E1830EB">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（2）【多选题】（分值：1分）物流服务师提供优质服务的正确做法包括（）。</w:t>
      </w:r>
    </w:p>
    <w:p w14:paraId="21196E55">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A.耐心解答客户疑问并明确流程</w:t>
      </w:r>
    </w:p>
    <w:p w14:paraId="67AA66E1">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B.根据客户需求设计个性化物流方案</w:t>
      </w:r>
    </w:p>
    <w:p w14:paraId="0F39A1D4">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C.主动跟进货物状态并反馈异常</w:t>
      </w:r>
    </w:p>
    <w:p w14:paraId="3101FE8F">
      <w:pPr>
        <w:widowControl/>
        <w:spacing w:before="0" w:after="0" w:line="540" w:lineRule="exact"/>
        <w:ind w:left="559" w:leftChars="266" w:right="0" w:firstLine="0" w:firstLineChars="0"/>
        <w:jc w:val="both"/>
        <w:rPr>
          <w:rFonts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D.因非自身责任推诿客户投诉</w:t>
      </w:r>
      <w:r>
        <w:rPr>
          <w:rFonts w:hint="eastAsia" w:ascii="仿宋_GB2312" w:hAnsi="仿宋_GB2312" w:eastAsia="仿宋_GB2312" w:cs="仿宋_GB2312"/>
          <w:b w:val="0"/>
          <w:color w:val="000000"/>
          <w:kern w:val="0"/>
          <w:sz w:val="28"/>
          <w:szCs w:val="28"/>
          <w:lang w:bidi="ar"/>
        </w:rPr>
        <w:br w:type="textWrapping"/>
      </w:r>
      <w:r>
        <w:rPr>
          <w:rFonts w:hint="eastAsia" w:ascii="仿宋_GB2312" w:hAnsi="仿宋_GB2312" w:eastAsia="仿宋_GB2312" w:cs="仿宋_GB2312"/>
          <w:b w:val="0"/>
          <w:color w:val="000000"/>
          <w:kern w:val="0"/>
          <w:sz w:val="28"/>
          <w:szCs w:val="28"/>
          <w:lang w:bidi="ar"/>
        </w:rPr>
        <w:t>E.定期收集客户建议并改进服务</w:t>
      </w:r>
    </w:p>
    <w:p w14:paraId="348F84CC">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（3）【判断题】（分值：1分）运输管理系统（TMS）可自动生成运费结算单据。（   ）</w:t>
      </w:r>
    </w:p>
    <w:p w14:paraId="00E65F94">
      <w:pPr>
        <w:widowControl/>
        <w:spacing w:before="0" w:after="0" w:line="540" w:lineRule="exact"/>
        <w:ind w:left="0" w:right="0" w:firstLine="560" w:firstLineChars="200"/>
        <w:jc w:val="both"/>
        <w:rPr>
          <w:rFonts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A.对</w:t>
      </w:r>
    </w:p>
    <w:p w14:paraId="20ED5F99">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B.错</w:t>
      </w:r>
    </w:p>
    <w:p w14:paraId="4D793837">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4）【综合实务题】（分值：10分）海南自由贸易港依托其独特的政策与区位优势，正全力打造面向太平洋和印度洋的重要开放门户。为深入推进国际旅游消费中心建设，并促进现代服务业与高新技术产业发展，自贸港在税收、贸易、物流等方面享有特殊政策，并构建了以“航空、航运”为双核心，与铁路、公路高效衔接的立体化物流网络。HL公司是一家扎根于海南自贸港的跨境电商与物流服务企业，新入职的员工小王，其核心职责是客户开发，即需要精准洞察客户需求，为其量身定制具有竞争力的物流服务解决方案，从而获取订单。在工作中，小王既要稳固与老客户的合作关系，也需要积极开拓新客户。结合案例，回答以下问题。</w:t>
      </w:r>
    </w:p>
    <w:p w14:paraId="3E6E6DD6">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楷体_GB2312" w:hAnsi="楷体_GB2312" w:eastAsia="楷体_GB2312" w:cs="楷体_GB2312"/>
          <w:b/>
          <w:color w:val="000000"/>
          <w:kern w:val="0"/>
          <w:sz w:val="28"/>
          <w:szCs w:val="28"/>
          <w:lang w:bidi="ar"/>
        </w:rPr>
        <w:t>(二)智慧物流系统规划仿真与方案设计模块</w:t>
      </w:r>
    </w:p>
    <w:p w14:paraId="2D78706D">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1.参赛队按要求完成智慧物流系统需求分析、智能设施设备配置、智慧仓布局规划、生产物流作业环节设计,进行仿真验证与分析,并制作规划方案。</w:t>
      </w:r>
    </w:p>
    <w:p w14:paraId="007DDC98">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2.样题</w:t>
      </w:r>
    </w:p>
    <w:p w14:paraId="77846245">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(1)任务背景</w:t>
      </w:r>
    </w:p>
    <w:p w14:paraId="2CBAF3F8">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世纪科技是一家创意小家电研发、设计、生产和销售的实业型企业,主营产品包括智能音箱、可视化门铃、智能摄像头等产品。在数字化及服务型制造转型发展背景趋势下,公司于安徽省合肥市新建“智能制造2025”示范工厂, 占地面积约6400 平方米,年产量超过80 万件。</w:t>
      </w:r>
    </w:p>
    <w:p w14:paraId="1B2E3CB3">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为了有效提升公司生产运营效率、改善产品质量,较好服务客户需求,公司现计划对原有生产车间改造升级,计划占地面积为 10 米*20 米,包含原材料存储库与装配车间,目前已初步确定未来计划投入使用的主要硬件设备种类,具体为:</w:t>
      </w:r>
    </w:p>
    <w:p w14:paraId="57DB5D11">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原材料存储库(10 米*10 米):采用货到人(GTP)作业模式与搬运机器人(AGV),主要用于原材料的存储与搬运;</w:t>
      </w:r>
    </w:p>
    <w:p w14:paraId="158E3E4E">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装配车间(10 米*10 米):采用点到点(P2P)作业模式与搬运机器人(AGV),主要用于装配车间原材料补给。</w:t>
      </w:r>
    </w:p>
    <w:p w14:paraId="0CF8E3B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(2)项目任务书</w:t>
      </w:r>
    </w:p>
    <w:p w14:paraId="4345CCB6">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任务描述:结合公司存储/装配车间信息及生产物流等任务基础数据,完成智慧物流系统规划方案。</w:t>
      </w:r>
    </w:p>
    <w:p w14:paraId="67CB300A">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①智能生产场景规划分析</w:t>
      </w:r>
    </w:p>
    <w:p w14:paraId="78FEEC3C">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结合物料需求、产品属性、存储能力、设备配置等关键参数,完成原材料存储搬运及产成品存储搬运典型生产物流场景的规划设计。</w:t>
      </w:r>
    </w:p>
    <w:p w14:paraId="66B9BC9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具体任务要求如下:</w:t>
      </w:r>
    </w:p>
    <w:p w14:paraId="7E85FF4B">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(a)原材料供应分析:根据原材料供应商能力评估标准,在给定供应商中,对其进行综合多维度评估,选择合适的供应商进行合作。</w:t>
      </w:r>
    </w:p>
    <w:p w14:paraId="759FD0C9">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(b)原材料需求分析:根据企业产能和产线规划,计算各原材料所需数量。</w:t>
      </w:r>
    </w:p>
    <w:p w14:paraId="0F19A8A2">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(c)原材料存储情况分析:根据原材料存储信息,确定原材料存储所需货架与料箱数量。</w:t>
      </w:r>
    </w:p>
    <w:p w14:paraId="6666FAD5">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(d)智能设施设备需求分析:根据生产运作效率,计算原材料存储库 AGV 数量、工作站数量(入库+出库)、充电桩数量等。</w:t>
      </w:r>
    </w:p>
    <w:p w14:paraId="17B1AF1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②智慧物流功能区域布局设计</w:t>
      </w:r>
    </w:p>
    <w:p w14:paraId="169807C3">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结合背景资料中给出的物流设施设备,结合相应参数,完成生产物流系统相应功能区域、设施设备动线及站节点的布局设计。</w:t>
      </w:r>
    </w:p>
    <w:p w14:paraId="616E92F6">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具体任务要求如下:</w:t>
      </w:r>
    </w:p>
    <w:p w14:paraId="6A08E060">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(a)完成物流功能区域规划设计。</w:t>
      </w:r>
    </w:p>
    <w:p w14:paraId="7194AA20">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(b)完成设施设备站节点在不同功能区域的点位设计,并完成路径规划。</w:t>
      </w:r>
    </w:p>
    <w:p w14:paraId="6F4F7300">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(c)输出相应布局规划结果,以截图方式保存有路径规划的地图。</w:t>
      </w:r>
    </w:p>
    <w:p w14:paraId="55FBBE0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③智慧物流作业环节设计</w:t>
      </w:r>
    </w:p>
    <w:p w14:paraId="35B7376B">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根据不同生产节拍及物流需求,完成生产物流作业环节分析、原材料运输作业设计。</w:t>
      </w:r>
    </w:p>
    <w:p w14:paraId="50D5C1E9">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具体任务要求如下:</w:t>
      </w:r>
    </w:p>
    <w:p w14:paraId="337CF0C5">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(a)生产物流作业环节分析:根据生产及物流数据,完成原材料存储及搬运、原料库至产线配送、产成品下线搬运等作业环节分析,以保证生产及物流全流程的有效运营。</w:t>
      </w:r>
    </w:p>
    <w:p w14:paraId="5B2D8956">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(b)原材料运输作业设计:根据原材料供应需求,结合供应商位置等信息,进行合理的运输路径规划。</w:t>
      </w:r>
    </w:p>
    <w:p w14:paraId="7CFA84ED">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④智慧物流系统仿真</w:t>
      </w:r>
    </w:p>
    <w:p w14:paraId="31CA6C63">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结合原材料存储信息、 作业任务信息等,完成系统配置、仿真,并对仿真数据分析。</w:t>
      </w:r>
    </w:p>
    <w:p w14:paraId="3DACE835">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具体任务要求如下:</w:t>
      </w:r>
    </w:p>
    <w:p w14:paraId="2D5515B8">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(a)物流仿真:对上述各任务分项中的场景规划、布局设计等进行仿真验证,并输出及留存相应技术文件。</w:t>
      </w:r>
    </w:p>
    <w:p w14:paraId="342EECDD">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(b)数据分析:综合整体规划设计及仿真结果,对仿真运行的数据进行分析,提出优化改进方案。</w:t>
      </w:r>
    </w:p>
    <w:p w14:paraId="0741BCE5">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⑤演示文稿制作</w:t>
      </w:r>
    </w:p>
    <w:p w14:paraId="7FF8522A">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根据以上规划内容,制作方案汇报的演示文稿。</w:t>
      </w:r>
    </w:p>
    <w:p w14:paraId="7474FF34">
      <w:pPr>
        <w:widowControl/>
        <w:spacing w:before="0" w:after="0" w:line="540" w:lineRule="exact"/>
        <w:ind w:left="0" w:right="0" w:firstLine="560"/>
        <w:jc w:val="both"/>
        <w:outlineLvl w:val="0"/>
        <w:rPr>
          <w:rFonts w:hint="eastAsia" w:ascii="仿宋" w:hAnsi="仿宋" w:eastAsia="仿宋" w:cs="仿宋"/>
          <w:sz w:val="28"/>
          <w:szCs w:val="28"/>
        </w:rPr>
      </w:pPr>
      <w:bookmarkStart w:id="9" w:name="_Toc2110112833"/>
      <w:r>
        <w:rPr>
          <w:rFonts w:hint="eastAsia" w:ascii="黑体" w:hAnsi="黑体" w:eastAsia="黑体" w:cs="黑体"/>
          <w:b w:val="0"/>
          <w:bCs w:val="0"/>
          <w:color w:val="000000"/>
          <w:kern w:val="0"/>
          <w:sz w:val="28"/>
          <w:szCs w:val="28"/>
          <w:lang w:bidi="ar"/>
        </w:rPr>
        <w:t>七、竞赛规则</w:t>
      </w:r>
      <w:bookmarkEnd w:id="9"/>
      <w:r>
        <w:rPr>
          <w:rFonts w:hint="eastAsia" w:ascii="黑体" w:hAnsi="黑体" w:eastAsia="黑体" w:cs="黑体"/>
          <w:b w:val="0"/>
          <w:bCs w:val="0"/>
          <w:color w:val="000000"/>
          <w:kern w:val="0"/>
          <w:sz w:val="28"/>
          <w:szCs w:val="28"/>
          <w:lang w:bidi="ar"/>
        </w:rPr>
        <w:t xml:space="preserve"> </w:t>
      </w:r>
    </w:p>
    <w:p w14:paraId="476F6819">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（一）报名资格及参赛队伍要求</w:t>
      </w:r>
    </w:p>
    <w:p w14:paraId="17F96AD0">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1.参赛队及参赛选手资格：参赛对象为高职（专科）学校、本科层次职业学校（含普通本科学校职教本科专业）。高职组参赛学生年龄不超过25周岁（即2002年5月1日及之后出生），五年制高职学生报名参赛的，四、五年级学生参加高职组比赛。在近两年世界职业院校技能大赛中获金奖的学生，不再参加同一项目（同一组别）的全省竞赛。</w:t>
      </w:r>
    </w:p>
    <w:p w14:paraId="56837E56">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2.组队要求：每个</w:t>
      </w:r>
      <w:r>
        <w:rPr>
          <w:rFonts w:hint="eastAsia" w:ascii="仿宋_GB2312" w:hAnsi="仿宋_GB2312" w:eastAsia="仿宋_GB2312" w:cs="仿宋_GB2312"/>
          <w:b/>
          <w:color w:val="000000"/>
          <w:kern w:val="0"/>
          <w:sz w:val="28"/>
          <w:szCs w:val="28"/>
          <w:lang w:eastAsia="zh-Hans" w:bidi="ar"/>
        </w:rPr>
        <w:t>学校</w:t>
      </w:r>
      <w:r>
        <w:rPr>
          <w:rFonts w:hint="eastAsia" w:ascii="仿宋_GB2312" w:hAnsi="仿宋_GB2312" w:eastAsia="仿宋_GB2312" w:cs="仿宋_GB2312"/>
          <w:b/>
          <w:color w:val="000000"/>
          <w:kern w:val="0"/>
          <w:sz w:val="28"/>
          <w:szCs w:val="28"/>
          <w:lang w:bidi="ar"/>
        </w:rPr>
        <w:t xml:space="preserve">限报3支代表队，参赛选手为同一学校，不允许跨校组队。 </w:t>
      </w:r>
    </w:p>
    <w:p w14:paraId="0D927BBE">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 xml:space="preserve">3.参赛要求：每个参赛队的4名选手必须为本院校在籍学生；每队指导教师1～2名，须为本院校专兼职教师。 </w:t>
      </w:r>
    </w:p>
    <w:p w14:paraId="47A1DAF9">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（二）熟悉场地与抽签 </w:t>
      </w:r>
    </w:p>
    <w:p w14:paraId="275A7014">
      <w:pPr>
        <w:widowControl/>
        <w:spacing w:before="0" w:after="0" w:line="540" w:lineRule="exact"/>
        <w:ind w:left="0" w:right="0" w:firstLine="560" w:firstLineChars="200"/>
        <w:jc w:val="both"/>
        <w:rPr>
          <w:rFonts w:hint="eastAsia" w:ascii="仿宋_GB2312" w:hAnsi="仿宋_GB2312" w:eastAsia="仿宋_GB2312" w:cs="仿宋_GB2312"/>
          <w:b w:val="0"/>
          <w:color w:val="000000"/>
          <w:kern w:val="0"/>
          <w:sz w:val="28"/>
          <w:szCs w:val="28"/>
          <w:lang w:bidi="ar"/>
        </w:rPr>
      </w:pPr>
      <w:r>
        <w:rPr>
          <w:rFonts w:hint="eastAsia" w:ascii="仿宋_GB2312" w:hAnsi="仿宋_GB2312" w:eastAsia="仿宋_GB2312" w:cs="仿宋_GB2312"/>
          <w:b w:val="0"/>
          <w:color w:val="000000"/>
          <w:kern w:val="0"/>
          <w:sz w:val="28"/>
          <w:szCs w:val="28"/>
          <w:lang w:bidi="ar"/>
        </w:rPr>
        <w:t>赛项安排在比赛前一天抽签，确定各参赛队的 “参赛组号”</w:t>
      </w:r>
      <w:r>
        <w:rPr>
          <w:rFonts w:ascii="仿宋_GB2312" w:hAnsi="仿宋_GB2312" w:eastAsia="仿宋_GB2312" w:cs="仿宋_GB2312"/>
          <w:b w:val="0"/>
          <w:color w:val="000000"/>
          <w:kern w:val="0"/>
          <w:sz w:val="28"/>
          <w:szCs w:val="28"/>
          <w:lang w:bidi="ar"/>
        </w:rPr>
        <w:t>，</w:t>
      </w:r>
      <w:r>
        <w:rPr>
          <w:rFonts w:hint="eastAsia" w:ascii="仿宋_GB2312" w:hAnsi="仿宋_GB2312" w:eastAsia="仿宋_GB2312" w:cs="仿宋_GB2312"/>
          <w:b w:val="0"/>
          <w:color w:val="000000"/>
          <w:kern w:val="0"/>
          <w:sz w:val="28"/>
          <w:szCs w:val="28"/>
          <w:lang w:eastAsia="zh-Hans" w:bidi="ar"/>
        </w:rPr>
        <w:t>进入各竞赛场地参观</w:t>
      </w:r>
      <w:r>
        <w:rPr>
          <w:rFonts w:ascii="仿宋_GB2312" w:hAnsi="仿宋_GB2312" w:eastAsia="仿宋_GB2312" w:cs="仿宋_GB2312"/>
          <w:b w:val="0"/>
          <w:color w:val="000000"/>
          <w:kern w:val="0"/>
          <w:sz w:val="28"/>
          <w:szCs w:val="28"/>
          <w:lang w:eastAsia="zh-Hans" w:bidi="ar"/>
        </w:rPr>
        <w:t>，</w:t>
      </w:r>
      <w:r>
        <w:rPr>
          <w:rFonts w:hint="eastAsia" w:ascii="仿宋_GB2312" w:hAnsi="仿宋_GB2312" w:eastAsia="仿宋_GB2312" w:cs="仿宋_GB2312"/>
          <w:b w:val="0"/>
          <w:color w:val="000000"/>
          <w:kern w:val="0"/>
          <w:sz w:val="28"/>
          <w:szCs w:val="28"/>
          <w:lang w:eastAsia="zh-Hans" w:bidi="ar"/>
        </w:rPr>
        <w:t>熟悉考场</w:t>
      </w:r>
      <w:r>
        <w:rPr>
          <w:rFonts w:ascii="仿宋_GB2312" w:hAnsi="仿宋_GB2312" w:eastAsia="仿宋_GB2312" w:cs="仿宋_GB2312"/>
          <w:b w:val="0"/>
          <w:color w:val="000000"/>
          <w:kern w:val="0"/>
          <w:sz w:val="28"/>
          <w:szCs w:val="28"/>
          <w:lang w:eastAsia="zh-Hans" w:bidi="ar"/>
        </w:rPr>
        <w:t>；</w:t>
      </w:r>
      <w:r>
        <w:rPr>
          <w:rFonts w:hint="eastAsia" w:ascii="仿宋_GB2312" w:hAnsi="仿宋_GB2312" w:eastAsia="仿宋_GB2312" w:cs="仿宋_GB2312"/>
          <w:b w:val="0"/>
          <w:color w:val="000000"/>
          <w:kern w:val="0"/>
          <w:sz w:val="28"/>
          <w:szCs w:val="28"/>
          <w:lang w:bidi="ar"/>
        </w:rPr>
        <w:t>比赛</w:t>
      </w:r>
      <w:r>
        <w:rPr>
          <w:rFonts w:hint="eastAsia" w:ascii="仿宋_GB2312" w:hAnsi="仿宋_GB2312" w:eastAsia="仿宋_GB2312" w:cs="仿宋_GB2312"/>
          <w:b w:val="0"/>
          <w:color w:val="000000"/>
          <w:kern w:val="0"/>
          <w:sz w:val="28"/>
          <w:szCs w:val="28"/>
          <w:lang w:eastAsia="zh-Hans" w:bidi="ar"/>
        </w:rPr>
        <w:t>当天检录后</w:t>
      </w:r>
      <w:r>
        <w:rPr>
          <w:rFonts w:hint="eastAsia" w:ascii="仿宋_GB2312" w:hAnsi="仿宋_GB2312" w:eastAsia="仿宋_GB2312" w:cs="仿宋_GB2312"/>
          <w:b w:val="0"/>
          <w:color w:val="000000"/>
          <w:kern w:val="0"/>
          <w:sz w:val="28"/>
          <w:szCs w:val="28"/>
          <w:lang w:bidi="ar"/>
        </w:rPr>
        <w:t>按抽签</w:t>
      </w:r>
      <w:r>
        <w:rPr>
          <w:rFonts w:hint="eastAsia" w:ascii="仿宋_GB2312" w:hAnsi="仿宋_GB2312" w:eastAsia="仿宋_GB2312" w:cs="仿宋_GB2312"/>
          <w:b w:val="0"/>
          <w:color w:val="000000"/>
          <w:kern w:val="0"/>
          <w:sz w:val="28"/>
          <w:szCs w:val="28"/>
          <w:lang w:eastAsia="zh-Hans" w:bidi="ar"/>
        </w:rPr>
        <w:t>抽取顺序号</w:t>
      </w:r>
      <w:r>
        <w:rPr>
          <w:rFonts w:ascii="仿宋_GB2312" w:hAnsi="仿宋_GB2312" w:eastAsia="仿宋_GB2312" w:cs="仿宋_GB2312"/>
          <w:b w:val="0"/>
          <w:color w:val="000000"/>
          <w:kern w:val="0"/>
          <w:sz w:val="28"/>
          <w:szCs w:val="28"/>
          <w:lang w:eastAsia="zh-Hans" w:bidi="ar"/>
        </w:rPr>
        <w:t>，</w:t>
      </w:r>
      <w:r>
        <w:rPr>
          <w:rFonts w:hint="eastAsia" w:ascii="仿宋_GB2312" w:hAnsi="仿宋_GB2312" w:eastAsia="仿宋_GB2312" w:cs="仿宋_GB2312"/>
          <w:b w:val="0"/>
          <w:color w:val="000000"/>
          <w:kern w:val="0"/>
          <w:sz w:val="28"/>
          <w:szCs w:val="28"/>
          <w:lang w:bidi="ar"/>
        </w:rPr>
        <w:t>各参赛队</w:t>
      </w:r>
      <w:r>
        <w:rPr>
          <w:rFonts w:hint="eastAsia" w:ascii="仿宋_GB2312" w:hAnsi="仿宋_GB2312" w:eastAsia="仿宋_GB2312" w:cs="仿宋_GB2312"/>
          <w:b w:val="0"/>
          <w:color w:val="000000"/>
          <w:kern w:val="0"/>
          <w:sz w:val="28"/>
          <w:szCs w:val="28"/>
          <w:lang w:eastAsia="zh-Hans" w:bidi="ar"/>
        </w:rPr>
        <w:t>进入相关考场</w:t>
      </w:r>
      <w:r>
        <w:rPr>
          <w:rFonts w:hint="eastAsia" w:ascii="仿宋_GB2312" w:hAnsi="仿宋_GB2312" w:eastAsia="仿宋_GB2312" w:cs="仿宋_GB2312"/>
          <w:b w:val="0"/>
          <w:color w:val="000000"/>
          <w:kern w:val="0"/>
          <w:sz w:val="28"/>
          <w:szCs w:val="28"/>
          <w:lang w:bidi="ar"/>
        </w:rPr>
        <w:t xml:space="preserve">。 </w:t>
      </w:r>
    </w:p>
    <w:p w14:paraId="69AA0F97">
      <w:pPr>
        <w:widowControl/>
        <w:spacing w:before="0" w:after="0" w:line="540" w:lineRule="exact"/>
        <w:ind w:left="0" w:right="0" w:firstLine="560" w:firstLineChars="200"/>
        <w:jc w:val="both"/>
        <w:rPr>
          <w:rFonts w:hint="eastAsia" w:ascii="仿宋_GB2312" w:hAnsi="仿宋_GB2312" w:eastAsia="仿宋_GB2312" w:cs="仿宋_GB2312"/>
          <w:b w:val="0"/>
          <w:color w:val="000000"/>
          <w:kern w:val="0"/>
          <w:sz w:val="28"/>
          <w:szCs w:val="28"/>
          <w:lang w:bidi="ar"/>
        </w:rPr>
      </w:pPr>
    </w:p>
    <w:p w14:paraId="13509C8C">
      <w:pPr>
        <w:widowControl/>
        <w:spacing w:before="0" w:after="0" w:line="540" w:lineRule="exact"/>
        <w:ind w:left="0" w:right="0" w:firstLine="560" w:firstLineChars="200"/>
        <w:jc w:val="both"/>
        <w:rPr>
          <w:rFonts w:hint="eastAsia" w:ascii="仿宋_GB2312" w:hAnsi="仿宋_GB2312" w:eastAsia="仿宋_GB2312" w:cs="仿宋_GB2312"/>
          <w:b w:val="0"/>
          <w:color w:val="000000"/>
          <w:kern w:val="0"/>
          <w:sz w:val="28"/>
          <w:szCs w:val="28"/>
          <w:lang w:bidi="ar"/>
        </w:rPr>
      </w:pPr>
    </w:p>
    <w:p w14:paraId="538A7F23">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（三）检录与加密 </w:t>
      </w:r>
    </w:p>
    <w:p w14:paraId="033C53A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按照2026年</w:t>
      </w:r>
      <w:r>
        <w:rPr>
          <w:rFonts w:hint="eastAsia" w:ascii="仿宋_GB2312" w:hAnsi="仿宋_GB2312" w:eastAsia="仿宋_GB2312" w:cs="仿宋_GB2312"/>
          <w:b w:val="0"/>
          <w:color w:val="000000"/>
          <w:kern w:val="0"/>
          <w:sz w:val="28"/>
          <w:szCs w:val="28"/>
          <w:lang w:eastAsia="zh-Hans" w:bidi="ar"/>
        </w:rPr>
        <w:t>海南省</w:t>
      </w:r>
      <w:r>
        <w:rPr>
          <w:rFonts w:hint="eastAsia" w:ascii="仿宋_GB2312" w:hAnsi="仿宋_GB2312" w:eastAsia="仿宋_GB2312" w:cs="仿宋_GB2312"/>
          <w:b w:val="0"/>
          <w:color w:val="000000"/>
          <w:kern w:val="0"/>
          <w:sz w:val="28"/>
          <w:szCs w:val="28"/>
          <w:lang w:bidi="ar"/>
        </w:rPr>
        <w:t xml:space="preserve">职业院校技能大赛要求，进行检录、一次加密、二次加密及解密等工作。 </w:t>
      </w:r>
    </w:p>
    <w:p w14:paraId="3C631E9E">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各参赛队须提前 10 分钟到达检录地点,在比赛期间实行封闭管理。参赛队检录迟到5分钟及以上以弃权论。</w:t>
      </w:r>
    </w:p>
    <w:p w14:paraId="419A562A">
      <w:pPr>
        <w:widowControl/>
        <w:spacing w:before="0" w:after="0" w:line="540" w:lineRule="exact"/>
        <w:ind w:left="0" w:right="0" w:firstLine="562" w:firstLineChars="200"/>
        <w:jc w:val="both"/>
        <w:rPr>
          <w:rFonts w:hint="eastAsia" w:ascii="仿宋" w:hAnsi="仿宋" w:eastAsia="仿宋" w:cs="仿宋"/>
          <w:b/>
          <w:bCs/>
          <w:color w:val="000000"/>
          <w:kern w:val="0"/>
          <w:sz w:val="28"/>
          <w:szCs w:val="28"/>
          <w:lang w:bidi="ar"/>
        </w:rPr>
      </w:pPr>
      <w:r>
        <w:rPr>
          <w:rFonts w:hint="eastAsia" w:ascii="楷体_GB2312" w:hAnsi="楷体_GB2312" w:eastAsia="楷体_GB2312" w:cs="楷体_GB2312"/>
          <w:b/>
          <w:bCs/>
          <w:color w:val="000000"/>
          <w:kern w:val="0"/>
          <w:sz w:val="28"/>
          <w:szCs w:val="28"/>
          <w:lang w:bidi="ar"/>
        </w:rPr>
        <w:t>(四)赛场规则</w:t>
      </w:r>
    </w:p>
    <w:p w14:paraId="58E84DAB">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1.参赛选手不允许带任何参赛队及个人信息入场比赛,不允许携带任何通讯及存储设备、纸质材料等物品进入赛场,赛场内提供必需用品。</w:t>
      </w:r>
    </w:p>
    <w:p w14:paraId="62F86CBD">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2.参赛选手进入赛场必须听从现场裁判人员的统一布置和安排,比赛期间必须严格遵守安全操作规程,确保人身和设备安全。</w:t>
      </w:r>
    </w:p>
    <w:p w14:paraId="6F7083C5">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3.其它未涉及事项或突发事件, 由大赛组委会负责解释或决定。</w:t>
      </w:r>
    </w:p>
    <w:p w14:paraId="4A7C1919">
      <w:pPr>
        <w:widowControl/>
        <w:spacing w:before="0" w:after="0" w:line="540" w:lineRule="exact"/>
        <w:ind w:left="0" w:right="0" w:firstLine="562" w:firstLineChars="200"/>
        <w:jc w:val="both"/>
        <w:rPr>
          <w:rFonts w:hint="eastAsia" w:ascii="仿宋" w:hAnsi="仿宋" w:eastAsia="仿宋" w:cs="仿宋"/>
          <w:b/>
          <w:bCs/>
          <w:color w:val="000000"/>
          <w:kern w:val="0"/>
          <w:sz w:val="28"/>
          <w:szCs w:val="28"/>
          <w:lang w:bidi="ar"/>
        </w:rPr>
      </w:pPr>
      <w:r>
        <w:rPr>
          <w:rFonts w:hint="eastAsia" w:ascii="楷体_GB2312" w:hAnsi="楷体_GB2312" w:eastAsia="楷体_GB2312" w:cs="楷体_GB2312"/>
          <w:b/>
          <w:bCs/>
          <w:color w:val="000000"/>
          <w:kern w:val="0"/>
          <w:sz w:val="28"/>
          <w:szCs w:val="28"/>
          <w:lang w:bidi="ar"/>
        </w:rPr>
        <w:t>(五)离场规则</w:t>
      </w:r>
    </w:p>
    <w:p w14:paraId="15DBA9BA">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在各模块比赛结束前5分钟及1分钟时，裁判将分别进行时间提醒。当裁判正式宣布比赛结束后，所有参赛选手必须立即停止一切操作，并按规定在指定位置等候，直至接到撤离比赛工位的指令后方可离开。</w:t>
      </w:r>
    </w:p>
    <w:p w14:paraId="270B0FA6">
      <w:pPr>
        <w:widowControl/>
        <w:spacing w:before="0" w:after="0" w:line="540" w:lineRule="exact"/>
        <w:ind w:left="0" w:right="0" w:firstLine="562" w:firstLineChars="200"/>
        <w:jc w:val="both"/>
        <w:rPr>
          <w:rFonts w:hint="eastAsia" w:ascii="仿宋" w:hAnsi="仿宋" w:eastAsia="仿宋" w:cs="仿宋"/>
          <w:b/>
          <w:bCs/>
          <w:color w:val="000000"/>
          <w:kern w:val="0"/>
          <w:sz w:val="28"/>
          <w:szCs w:val="28"/>
          <w:lang w:bidi="ar"/>
        </w:rPr>
      </w:pPr>
      <w:r>
        <w:rPr>
          <w:rFonts w:hint="eastAsia" w:ascii="楷体_GB2312" w:hAnsi="楷体_GB2312" w:eastAsia="楷体_GB2312" w:cs="楷体_GB2312"/>
          <w:b/>
          <w:bCs/>
          <w:color w:val="000000"/>
          <w:kern w:val="0"/>
          <w:sz w:val="28"/>
          <w:szCs w:val="28"/>
          <w:lang w:bidi="ar"/>
        </w:rPr>
        <w:t>(六)成绩评定与结果公布</w:t>
      </w:r>
    </w:p>
    <w:p w14:paraId="6E642D4B">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1.大赛在赛项执委会领导下,赛项裁判组负责赛项成绩评定工作,参赛队成绩通过“三级审核 ”,确保比赛成绩准确无误。</w:t>
      </w:r>
    </w:p>
    <w:p w14:paraId="142A75DC">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2.1+X 物流职业素养测试模块由计算机评分,自动生成考核分数,各队4 位成员的平均分为小队成绩;智慧物流系统规划仿真与方案设计、智慧物流系统方案汇报答辩由裁判组打分，裁判组所有裁判的平均分作为每个模块的最终得分。总成绩=1+X 物流职业素养测试成绩×10%+智慧物流系统规划仿真与方案设计成绩×60%+智慧物流方案汇报答辩成绩×30%。</w:t>
      </w:r>
    </w:p>
    <w:p w14:paraId="397EA5BB">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3.最终成绩由监督仲裁组抽查复核后公示。</w:t>
      </w:r>
    </w:p>
    <w:p w14:paraId="4AA8BBA4">
      <w:pPr>
        <w:widowControl/>
        <w:spacing w:before="0" w:after="0" w:line="540" w:lineRule="exact"/>
        <w:ind w:left="0" w:right="0" w:firstLine="560"/>
        <w:jc w:val="both"/>
        <w:outlineLvl w:val="0"/>
        <w:rPr>
          <w:rFonts w:hint="eastAsia" w:ascii="仿宋" w:hAnsi="仿宋" w:eastAsia="仿宋" w:cs="仿宋"/>
          <w:sz w:val="28"/>
          <w:szCs w:val="28"/>
        </w:rPr>
      </w:pPr>
      <w:bookmarkStart w:id="10" w:name="_Toc1121437673"/>
      <w:r>
        <w:rPr>
          <w:rFonts w:hint="eastAsia" w:ascii="黑体" w:hAnsi="黑体" w:eastAsia="黑体" w:cs="黑体"/>
          <w:b w:val="0"/>
          <w:bCs w:val="0"/>
          <w:color w:val="000000"/>
          <w:kern w:val="0"/>
          <w:sz w:val="28"/>
          <w:szCs w:val="28"/>
          <w:lang w:bidi="ar"/>
        </w:rPr>
        <w:t>八、竞赛环境</w:t>
      </w:r>
      <w:bookmarkEnd w:id="10"/>
      <w:r>
        <w:rPr>
          <w:rFonts w:hint="eastAsia" w:ascii="黑体" w:hAnsi="黑体" w:eastAsia="黑体" w:cs="黑体"/>
          <w:b w:val="0"/>
          <w:bCs w:val="0"/>
          <w:color w:val="000000"/>
          <w:kern w:val="0"/>
          <w:sz w:val="28"/>
          <w:szCs w:val="28"/>
          <w:lang w:bidi="ar"/>
        </w:rPr>
        <w:t xml:space="preserve"> </w:t>
      </w:r>
    </w:p>
    <w:p w14:paraId="46337212">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 xml:space="preserve">1.物流管理 1+X 职业能力测评模块，每队在该模块比赛时均为独立空间，有独立使用的计算机设施，保证各队在设计时的独立性，不受外界干扰。 </w:t>
      </w:r>
    </w:p>
    <w:p w14:paraId="3EAC012B">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2.方案汇报答辩环境:竞赛场地面积不小于80平米,配备多媒体设备 1 套、计时设备,空间宽敞明亮 、通风良好。</w:t>
      </w:r>
    </w:p>
    <w:p w14:paraId="67B5A649">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3.使用的设施设备，规格、型号，新旧程度一致，保证竞赛的公平。</w:t>
      </w:r>
    </w:p>
    <w:p w14:paraId="3EB92C4A">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4.竞赛场地设有裁判休息室和工作室，有能满足参赛队休息的休息室。 </w:t>
      </w:r>
    </w:p>
    <w:p w14:paraId="60E4F0B1">
      <w:pPr>
        <w:widowControl/>
        <w:spacing w:before="0" w:after="0" w:line="540" w:lineRule="exact"/>
        <w:ind w:left="0" w:right="0" w:firstLine="560"/>
        <w:jc w:val="both"/>
        <w:outlineLvl w:val="0"/>
        <w:rPr>
          <w:rFonts w:hint="eastAsia" w:ascii="仿宋" w:hAnsi="仿宋" w:eastAsia="仿宋" w:cs="仿宋"/>
          <w:sz w:val="28"/>
          <w:szCs w:val="28"/>
        </w:rPr>
      </w:pPr>
      <w:bookmarkStart w:id="11" w:name="_Toc1686484039"/>
      <w:r>
        <w:rPr>
          <w:rFonts w:hint="eastAsia" w:ascii="黑体" w:hAnsi="黑体" w:eastAsia="黑体" w:cs="黑体"/>
          <w:b w:val="0"/>
          <w:bCs w:val="0"/>
          <w:color w:val="000000"/>
          <w:kern w:val="0"/>
          <w:sz w:val="28"/>
          <w:szCs w:val="28"/>
          <w:lang w:bidi="ar"/>
        </w:rPr>
        <w:t>九、技术规范</w:t>
      </w:r>
      <w:bookmarkEnd w:id="11"/>
      <w:r>
        <w:rPr>
          <w:rFonts w:hint="eastAsia" w:ascii="黑体" w:hAnsi="黑体" w:eastAsia="黑体" w:cs="黑体"/>
          <w:b w:val="0"/>
          <w:bCs w:val="0"/>
          <w:color w:val="000000"/>
          <w:kern w:val="0"/>
          <w:sz w:val="28"/>
          <w:szCs w:val="28"/>
          <w:lang w:bidi="ar"/>
        </w:rPr>
        <w:t xml:space="preserve"> </w:t>
      </w:r>
    </w:p>
    <w:p w14:paraId="49F2A006">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（一）法律法规 </w:t>
      </w:r>
    </w:p>
    <w:p w14:paraId="7BF1EB54">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《中华人民共和国安全生产法》 </w:t>
      </w:r>
    </w:p>
    <w:p w14:paraId="0ADDFDF7">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（二）技术标准 </w:t>
      </w:r>
    </w:p>
    <w:p w14:paraId="0164975E">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1.《物流术语》（GB/T 18354-2021）。 </w:t>
      </w:r>
    </w:p>
    <w:p w14:paraId="0B0FB231">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2.《企业物流成本构成与计算》（GB/T20523-2006）。 </w:t>
      </w:r>
    </w:p>
    <w:p w14:paraId="7433A863">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3.《仓储从业人员职业资质》（GB/T21070-2007）。 </w:t>
      </w:r>
    </w:p>
    <w:p w14:paraId="7CCFD835">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4.《仓储服务质量要求》（GB/T21071-2007）。 </w:t>
      </w:r>
    </w:p>
    <w:p w14:paraId="4CA6639D">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5.《通用仓库等级》（GB/T21072-2007）。 </w:t>
      </w:r>
    </w:p>
    <w:p w14:paraId="26484957">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6.《汽车、挂车及汽车列车外廓尺寸、轴荷及质量限值》 </w:t>
      </w:r>
    </w:p>
    <w:p w14:paraId="3E325723">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（GB1589-2016）。 </w:t>
      </w:r>
    </w:p>
    <w:p w14:paraId="2C45ACF6">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7.《物流中心作业通用规范》（GB/T22126-2008）。 </w:t>
      </w:r>
    </w:p>
    <w:p w14:paraId="08092BA4">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8.《计算机软件质量保证计划规范》（GB/T 12504-90）。 </w:t>
      </w:r>
    </w:p>
    <w:p w14:paraId="62DBF6FC">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9.《物流设施设备的选用参数要求》 （GB/T 39660-2020）。 </w:t>
      </w:r>
    </w:p>
    <w:p w14:paraId="2B9F1B88">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10.《通用仓库及库区规划设计参数》（GB/T 28581-2012）。 </w:t>
      </w:r>
    </w:p>
    <w:p w14:paraId="11EFFF29">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11.《建筑设计防火规范》（GB 50016—2018）。</w:t>
      </w:r>
    </w:p>
    <w:p w14:paraId="3F1C77B3">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12.物流管理“1+X”职业技能等级标准。 </w:t>
      </w:r>
    </w:p>
    <w:p w14:paraId="4228E385">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 xml:space="preserve">13.企业安全生产管理规范等。 </w:t>
      </w:r>
    </w:p>
    <w:p w14:paraId="35AD48D2">
      <w:pPr>
        <w:widowControl/>
        <w:spacing w:before="0" w:after="0" w:line="540" w:lineRule="exact"/>
        <w:ind w:left="0" w:right="0" w:firstLine="560"/>
        <w:jc w:val="both"/>
        <w:rPr>
          <w:rFonts w:hint="eastAsia" w:ascii="仿宋" w:hAnsi="仿宋" w:eastAsia="仿宋" w:cs="仿宋"/>
          <w:b/>
          <w:bCs/>
          <w:color w:val="000000"/>
          <w:kern w:val="0"/>
          <w:sz w:val="28"/>
          <w:szCs w:val="28"/>
          <w:lang w:bidi="ar"/>
        </w:rPr>
      </w:pPr>
      <w:r>
        <w:rPr>
          <w:rFonts w:hint="eastAsia" w:ascii="楷体_GB2312" w:hAnsi="楷体_GB2312" w:eastAsia="楷体_GB2312" w:cs="楷体_GB2312"/>
          <w:b/>
          <w:bCs/>
          <w:color w:val="000000"/>
          <w:kern w:val="0"/>
          <w:sz w:val="28"/>
          <w:szCs w:val="28"/>
          <w:lang w:bidi="ar"/>
        </w:rPr>
        <w:t xml:space="preserve">（三）高职专业教学标准 </w:t>
      </w:r>
    </w:p>
    <w:p w14:paraId="53CF8285">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 xml:space="preserve">财经商贸类-高等职业学校物流管理专业教学标准 630903 《高等职业学校物流管理专业实训教学条件建设标准》 </w:t>
      </w:r>
    </w:p>
    <w:p w14:paraId="5ACF072D">
      <w:pPr>
        <w:widowControl/>
        <w:spacing w:before="0" w:after="0" w:line="540" w:lineRule="exact"/>
        <w:ind w:left="0" w:right="0" w:firstLine="560"/>
        <w:jc w:val="both"/>
        <w:outlineLvl w:val="0"/>
        <w:rPr>
          <w:rFonts w:hint="eastAsia" w:ascii="仿宋" w:hAnsi="仿宋" w:eastAsia="仿宋" w:cs="仿宋"/>
          <w:sz w:val="28"/>
          <w:szCs w:val="28"/>
        </w:rPr>
      </w:pPr>
      <w:bookmarkStart w:id="12" w:name="_Toc100586720"/>
      <w:r>
        <w:rPr>
          <w:rFonts w:hint="eastAsia" w:ascii="黑体" w:hAnsi="黑体" w:eastAsia="黑体" w:cs="黑体"/>
          <w:b w:val="0"/>
          <w:bCs w:val="0"/>
          <w:color w:val="000000"/>
          <w:kern w:val="0"/>
          <w:sz w:val="28"/>
          <w:szCs w:val="28"/>
          <w:lang w:bidi="ar"/>
        </w:rPr>
        <w:t>十、技术平台</w:t>
      </w:r>
      <w:bookmarkEnd w:id="12"/>
      <w:r>
        <w:rPr>
          <w:rFonts w:hint="eastAsia" w:ascii="黑体" w:hAnsi="黑体" w:eastAsia="黑体" w:cs="黑体"/>
          <w:b w:val="0"/>
          <w:bCs w:val="0"/>
          <w:color w:val="000000"/>
          <w:kern w:val="0"/>
          <w:sz w:val="28"/>
          <w:szCs w:val="28"/>
          <w:lang w:bidi="ar"/>
        </w:rPr>
        <w:t xml:space="preserve"> </w:t>
      </w:r>
    </w:p>
    <w:p w14:paraId="5353218A">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1.比赛承办校提供的具体设备与软件系统。</w:t>
      </w:r>
    </w:p>
    <w:p w14:paraId="373A7CF5">
      <w:pPr>
        <w:widowControl/>
        <w:spacing w:before="0" w:after="0" w:line="540" w:lineRule="exact"/>
        <w:ind w:left="0" w:right="0" w:firstLine="0"/>
        <w:jc w:val="center"/>
        <w:outlineLvl w:val="0"/>
        <w:rPr>
          <w:rFonts w:hint="eastAsia" w:ascii="仿宋" w:hAnsi="仿宋" w:eastAsia="仿宋" w:cs="仿宋"/>
          <w:b/>
          <w:color w:val="FF0000"/>
          <w:sz w:val="28"/>
          <w:szCs w:val="28"/>
        </w:rPr>
      </w:pPr>
      <w:bookmarkStart w:id="13" w:name="_Toc491372851"/>
      <w:r>
        <w:rPr>
          <w:rFonts w:hint="eastAsia" w:ascii="黑体" w:hAnsi="黑体" w:eastAsia="黑体" w:cs="黑体"/>
          <w:b w:val="0"/>
          <w:bCs w:val="0"/>
          <w:color w:val="000000"/>
          <w:kern w:val="0"/>
          <w:sz w:val="28"/>
          <w:szCs w:val="28"/>
          <w:lang w:bidi="ar"/>
        </w:rPr>
        <w:t>技术平台设备与规格</w:t>
      </w:r>
      <w:bookmarkEnd w:id="13"/>
    </w:p>
    <w:tbl>
      <w:tblPr>
        <w:tblStyle w:val="8"/>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276"/>
        <w:gridCol w:w="1276"/>
        <w:gridCol w:w="5528"/>
      </w:tblGrid>
      <w:tr w14:paraId="4FAF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blHeader/>
          <w:jc w:val="center"/>
        </w:trPr>
        <w:tc>
          <w:tcPr>
            <w:tcW w:w="992" w:type="dxa"/>
            <w:shd w:val="clear" w:color="auto" w:fill="8DB3E2"/>
            <w:vAlign w:val="center"/>
          </w:tcPr>
          <w:p w14:paraId="59D883F7">
            <w:pPr>
              <w:spacing w:before="0" w:after="0" w:line="540" w:lineRule="exact"/>
              <w:ind w:left="0" w:right="0" w:firstLine="0"/>
              <w:jc w:val="center"/>
              <w:rPr>
                <w:rFonts w:ascii="宋体" w:hAnsi="宋体" w:cs="宋体"/>
                <w:b/>
                <w:color w:val="000000"/>
                <w:szCs w:val="21"/>
              </w:rPr>
            </w:pPr>
            <w:r>
              <w:rPr>
                <w:rFonts w:hint="eastAsia" w:ascii="宋体" w:hAnsi="宋体" w:eastAsia="宋体" w:cs="宋体"/>
                <w:b/>
                <w:color w:val="000000"/>
                <w:sz w:val="24"/>
                <w:szCs w:val="21"/>
              </w:rPr>
              <w:t>序号</w:t>
            </w:r>
          </w:p>
        </w:tc>
        <w:tc>
          <w:tcPr>
            <w:tcW w:w="1276" w:type="dxa"/>
            <w:shd w:val="clear" w:color="auto" w:fill="8DB3E2"/>
            <w:vAlign w:val="center"/>
          </w:tcPr>
          <w:p w14:paraId="624B8713">
            <w:pPr>
              <w:spacing w:before="0" w:after="0" w:line="540" w:lineRule="exact"/>
              <w:ind w:left="0" w:right="0" w:firstLine="0"/>
              <w:jc w:val="center"/>
              <w:rPr>
                <w:rFonts w:ascii="宋体" w:hAnsi="宋体" w:cs="宋体"/>
                <w:b/>
                <w:color w:val="000000"/>
                <w:szCs w:val="21"/>
              </w:rPr>
            </w:pPr>
            <w:r>
              <w:rPr>
                <w:rFonts w:hint="eastAsia" w:ascii="宋体" w:hAnsi="宋体" w:eastAsia="宋体" w:cs="宋体"/>
                <w:b/>
                <w:color w:val="000000"/>
                <w:sz w:val="24"/>
                <w:szCs w:val="21"/>
              </w:rPr>
              <w:t>名称</w:t>
            </w:r>
          </w:p>
        </w:tc>
        <w:tc>
          <w:tcPr>
            <w:tcW w:w="1276" w:type="dxa"/>
            <w:shd w:val="clear" w:color="auto" w:fill="8DB3E2"/>
            <w:vAlign w:val="center"/>
          </w:tcPr>
          <w:p w14:paraId="0689D6C5">
            <w:pPr>
              <w:spacing w:before="0" w:after="0" w:line="540" w:lineRule="exact"/>
              <w:ind w:left="0" w:right="0" w:firstLine="0"/>
              <w:jc w:val="center"/>
              <w:rPr>
                <w:rFonts w:ascii="宋体" w:hAnsi="宋体" w:cs="宋体"/>
                <w:b/>
                <w:color w:val="000000"/>
                <w:szCs w:val="21"/>
              </w:rPr>
            </w:pPr>
            <w:r>
              <w:rPr>
                <w:rFonts w:hint="eastAsia" w:ascii="宋体" w:hAnsi="宋体" w:eastAsia="宋体" w:cs="宋体"/>
                <w:b/>
                <w:color w:val="000000"/>
                <w:sz w:val="24"/>
                <w:szCs w:val="21"/>
              </w:rPr>
              <w:t>品牌型号</w:t>
            </w:r>
          </w:p>
        </w:tc>
        <w:tc>
          <w:tcPr>
            <w:tcW w:w="5528" w:type="dxa"/>
            <w:shd w:val="clear" w:color="auto" w:fill="8DB3E2"/>
            <w:vAlign w:val="center"/>
          </w:tcPr>
          <w:p w14:paraId="7101087F">
            <w:pPr>
              <w:spacing w:before="0" w:after="0" w:line="540" w:lineRule="exact"/>
              <w:ind w:left="0" w:right="0" w:firstLine="0"/>
              <w:jc w:val="center"/>
              <w:rPr>
                <w:rFonts w:ascii="宋体" w:hAnsi="宋体" w:cs="宋体"/>
                <w:b/>
                <w:color w:val="000000"/>
                <w:szCs w:val="21"/>
              </w:rPr>
            </w:pPr>
            <w:r>
              <w:rPr>
                <w:rFonts w:hint="eastAsia" w:ascii="宋体" w:hAnsi="宋体" w:eastAsia="宋体" w:cs="宋体"/>
                <w:b/>
                <w:color w:val="000000"/>
                <w:sz w:val="24"/>
                <w:szCs w:val="21"/>
              </w:rPr>
              <w:t>规格要求</w:t>
            </w:r>
          </w:p>
        </w:tc>
      </w:tr>
      <w:tr w14:paraId="4E8B3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92" w:type="dxa"/>
            <w:tcBorders>
              <w:top w:val="single" w:color="auto" w:sz="4" w:space="0"/>
              <w:left w:val="single" w:color="auto" w:sz="4" w:space="0"/>
              <w:bottom w:val="single" w:color="auto" w:sz="4" w:space="0"/>
              <w:right w:val="single" w:color="auto" w:sz="4" w:space="0"/>
            </w:tcBorders>
            <w:vAlign w:val="center"/>
          </w:tcPr>
          <w:p w14:paraId="2C45041D">
            <w:pPr>
              <w:snapToGrid w:val="0"/>
              <w:spacing w:before="0" w:after="0" w:line="540" w:lineRule="exact"/>
              <w:ind w:left="0" w:right="0" w:firstLine="0"/>
              <w:jc w:val="center"/>
              <w:rPr>
                <w:rFonts w:hint="eastAsia" w:ascii="Calibri" w:hAnsi="Calibri" w:cs="黑体"/>
                <w:color w:val="000000"/>
                <w:szCs w:val="21"/>
              </w:rPr>
            </w:pPr>
            <w:r>
              <w:rPr>
                <w:rFonts w:hint="eastAsia" w:ascii="宋体" w:hAnsi="宋体" w:eastAsia="宋体" w:cs="宋体"/>
                <w:b w:val="0"/>
                <w:color w:val="000000"/>
                <w:sz w:val="21"/>
                <w:szCs w:val="21"/>
              </w:rPr>
              <w:t>1</w:t>
            </w:r>
          </w:p>
        </w:tc>
        <w:tc>
          <w:tcPr>
            <w:tcW w:w="1276" w:type="dxa"/>
            <w:tcBorders>
              <w:top w:val="single" w:color="auto" w:sz="4" w:space="0"/>
              <w:left w:val="single" w:color="auto" w:sz="4" w:space="0"/>
              <w:bottom w:val="single" w:color="auto" w:sz="4" w:space="0"/>
              <w:right w:val="single" w:color="auto" w:sz="4" w:space="0"/>
            </w:tcBorders>
            <w:vAlign w:val="center"/>
          </w:tcPr>
          <w:p w14:paraId="6EBB85ED">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工作电脑</w:t>
            </w:r>
          </w:p>
        </w:tc>
        <w:tc>
          <w:tcPr>
            <w:tcW w:w="1276" w:type="dxa"/>
            <w:tcBorders>
              <w:top w:val="single" w:color="auto" w:sz="4" w:space="0"/>
              <w:left w:val="single" w:color="auto" w:sz="4" w:space="0"/>
              <w:bottom w:val="single" w:color="auto" w:sz="4" w:space="0"/>
              <w:right w:val="single" w:color="auto" w:sz="4" w:space="0"/>
            </w:tcBorders>
            <w:vAlign w:val="center"/>
          </w:tcPr>
          <w:p w14:paraId="2B0DDA8C">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品牌：联想</w:t>
            </w:r>
          </w:p>
          <w:p w14:paraId="4D85F3AB">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型号：M</w:t>
            </w:r>
            <w:r>
              <w:rPr>
                <w:rFonts w:ascii="宋体" w:hAnsi="宋体" w:eastAsia="宋体" w:cs="宋体"/>
                <w:b w:val="0"/>
                <w:color w:val="000000"/>
                <w:sz w:val="21"/>
                <w:szCs w:val="21"/>
              </w:rPr>
              <w:t>760-A462</w:t>
            </w:r>
          </w:p>
          <w:p w14:paraId="26E1B38D">
            <w:pPr>
              <w:snapToGrid w:val="0"/>
              <w:spacing w:before="0" w:after="0" w:line="540" w:lineRule="exact"/>
              <w:ind w:left="0" w:right="0" w:firstLine="0"/>
              <w:jc w:val="center"/>
              <w:rPr>
                <w:rFonts w:ascii="Calibri" w:hAnsi="Calibri" w:cs="黑体"/>
                <w:color w:val="000000"/>
                <w:szCs w:val="21"/>
              </w:rPr>
            </w:pPr>
          </w:p>
        </w:tc>
        <w:tc>
          <w:tcPr>
            <w:tcW w:w="5528" w:type="dxa"/>
            <w:tcBorders>
              <w:top w:val="single" w:color="auto" w:sz="4" w:space="0"/>
              <w:left w:val="single" w:color="auto" w:sz="4" w:space="0"/>
              <w:bottom w:val="single" w:color="auto" w:sz="4" w:space="0"/>
              <w:right w:val="single" w:color="auto" w:sz="4" w:space="0"/>
            </w:tcBorders>
            <w:vAlign w:val="center"/>
          </w:tcPr>
          <w:p w14:paraId="3BB1E630">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1. CPU： ≥Core i7-14700</w:t>
            </w:r>
          </w:p>
          <w:p w14:paraId="32D8A198">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2. 主板：≥Intel B760及以上</w:t>
            </w:r>
          </w:p>
          <w:p w14:paraId="3BBC1C1C">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 xml:space="preserve">3. 内存：≥配置16GB DDR5 </w:t>
            </w:r>
          </w:p>
          <w:p w14:paraId="3A8F3A7C">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4. 显卡：≥集成显卡</w:t>
            </w:r>
          </w:p>
          <w:p w14:paraId="23C3787F">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 xml:space="preserve">5. 声卡：5.1声道 </w:t>
            </w:r>
          </w:p>
          <w:p w14:paraId="1CF264A0">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 xml:space="preserve">6. 硬盘：≥1T sata+256SSD固态硬盘  </w:t>
            </w:r>
          </w:p>
          <w:p w14:paraId="1A0B025A">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7. 网卡：Integrated Ethernet千兆</w:t>
            </w:r>
          </w:p>
          <w:p w14:paraId="33660153">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 xml:space="preserve">8. 扩展槽：≥1个PCI-E*16，≥1个PCI-E*1 </w:t>
            </w:r>
          </w:p>
          <w:p w14:paraId="6B4DA3B1">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 xml:space="preserve">9. 键盘、鼠标 防水键盘，抗菌鼠标 </w:t>
            </w:r>
          </w:p>
          <w:p w14:paraId="1C8DB5A3">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10. 接口：≥8个USB接口（前4个USB3.2Gen1）、并口，VGA+HDMI</w:t>
            </w:r>
          </w:p>
          <w:p w14:paraId="037DFD45">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 xml:space="preserve">11. 电源：≥节能电源180W </w:t>
            </w:r>
          </w:p>
          <w:p w14:paraId="1369E562">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12. 显示器： ≥21.5低蓝光</w:t>
            </w:r>
          </w:p>
          <w:p w14:paraId="6091A59C">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13. 操作系统：家庭版 win11</w:t>
            </w:r>
          </w:p>
        </w:tc>
      </w:tr>
      <w:tr w14:paraId="5151D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92" w:type="dxa"/>
            <w:tcBorders>
              <w:top w:val="single" w:color="auto" w:sz="4" w:space="0"/>
              <w:left w:val="single" w:color="auto" w:sz="4" w:space="0"/>
              <w:bottom w:val="single" w:color="auto" w:sz="4" w:space="0"/>
              <w:right w:val="single" w:color="auto" w:sz="4" w:space="0"/>
            </w:tcBorders>
            <w:vAlign w:val="center"/>
          </w:tcPr>
          <w:p w14:paraId="4DBD5EFE">
            <w:pPr>
              <w:snapToGrid w:val="0"/>
              <w:spacing w:before="0" w:after="0" w:line="540" w:lineRule="exact"/>
              <w:ind w:left="0" w:right="0" w:firstLine="0"/>
              <w:jc w:val="center"/>
              <w:rPr>
                <w:rFonts w:hint="eastAsia" w:ascii="Calibri" w:hAnsi="Calibri" w:cs="黑体"/>
                <w:color w:val="000000"/>
                <w:szCs w:val="21"/>
              </w:rPr>
            </w:pPr>
            <w:r>
              <w:rPr>
                <w:rFonts w:hint="eastAsia" w:ascii="宋体" w:hAnsi="宋体" w:eastAsia="宋体" w:cs="宋体"/>
                <w:b w:val="0"/>
                <w:color w:val="000000"/>
                <w:sz w:val="21"/>
                <w:szCs w:val="21"/>
              </w:rPr>
              <w:t>2</w:t>
            </w:r>
          </w:p>
        </w:tc>
        <w:tc>
          <w:tcPr>
            <w:tcW w:w="1276" w:type="dxa"/>
            <w:tcBorders>
              <w:top w:val="single" w:color="auto" w:sz="4" w:space="0"/>
              <w:left w:val="single" w:color="auto" w:sz="4" w:space="0"/>
              <w:bottom w:val="single" w:color="auto" w:sz="4" w:space="0"/>
              <w:right w:val="single" w:color="auto" w:sz="4" w:space="0"/>
            </w:tcBorders>
            <w:vAlign w:val="center"/>
          </w:tcPr>
          <w:p w14:paraId="74F20F6F">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电脑桌椅</w:t>
            </w:r>
          </w:p>
        </w:tc>
        <w:tc>
          <w:tcPr>
            <w:tcW w:w="1276" w:type="dxa"/>
            <w:tcBorders>
              <w:top w:val="single" w:color="auto" w:sz="4" w:space="0"/>
              <w:left w:val="single" w:color="auto" w:sz="4" w:space="0"/>
              <w:bottom w:val="single" w:color="auto" w:sz="4" w:space="0"/>
              <w:right w:val="single" w:color="auto" w:sz="4" w:space="0"/>
            </w:tcBorders>
            <w:vAlign w:val="center"/>
          </w:tcPr>
          <w:p w14:paraId="05471B60">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品牌：LOGIS</w:t>
            </w:r>
          </w:p>
          <w:p w14:paraId="13F1E3B5">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型号：定制</w:t>
            </w:r>
          </w:p>
          <w:p w14:paraId="41B94236">
            <w:pPr>
              <w:snapToGrid w:val="0"/>
              <w:spacing w:before="0" w:after="0" w:line="540" w:lineRule="exact"/>
              <w:ind w:left="0" w:right="0" w:firstLine="0"/>
              <w:jc w:val="center"/>
              <w:rPr>
                <w:rFonts w:ascii="Calibri" w:hAnsi="Calibri" w:cs="黑体"/>
                <w:color w:val="000000"/>
                <w:szCs w:val="21"/>
              </w:rPr>
            </w:pPr>
          </w:p>
        </w:tc>
        <w:tc>
          <w:tcPr>
            <w:tcW w:w="5528" w:type="dxa"/>
            <w:tcBorders>
              <w:top w:val="single" w:color="auto" w:sz="4" w:space="0"/>
              <w:left w:val="single" w:color="auto" w:sz="4" w:space="0"/>
              <w:bottom w:val="single" w:color="auto" w:sz="4" w:space="0"/>
              <w:right w:val="single" w:color="auto" w:sz="4" w:space="0"/>
            </w:tcBorders>
            <w:vAlign w:val="center"/>
          </w:tcPr>
          <w:p w14:paraId="7B2DF8F1">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1.尺寸：约 1200×600*750mm；</w:t>
            </w:r>
          </w:p>
          <w:p w14:paraId="2DB421E6">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2.材质：三聚氰胺板 环保型；</w:t>
            </w:r>
          </w:p>
          <w:p w14:paraId="72854134">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 xml:space="preserve">3.配套键盘托及主机托 ；    </w:t>
            </w:r>
          </w:p>
          <w:p w14:paraId="7D23611F">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4.配座椅，符合人体工学设计，靠背为高密度透气网布，扶手为高强度工程 PP 框架，喷涂钢制弓形椅腿，并配尼龙脚垫及防刮防前倾设计。</w:t>
            </w:r>
          </w:p>
        </w:tc>
      </w:tr>
      <w:tr w14:paraId="192D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92" w:type="dxa"/>
            <w:tcBorders>
              <w:top w:val="single" w:color="auto" w:sz="4" w:space="0"/>
              <w:left w:val="single" w:color="auto" w:sz="4" w:space="0"/>
              <w:bottom w:val="single" w:color="auto" w:sz="4" w:space="0"/>
              <w:right w:val="single" w:color="auto" w:sz="4" w:space="0"/>
            </w:tcBorders>
            <w:vAlign w:val="center"/>
          </w:tcPr>
          <w:p w14:paraId="4CD447B4">
            <w:pPr>
              <w:snapToGrid w:val="0"/>
              <w:spacing w:before="0" w:after="0" w:line="540" w:lineRule="exact"/>
              <w:ind w:left="0" w:right="0" w:firstLine="0"/>
              <w:jc w:val="center"/>
              <w:rPr>
                <w:rFonts w:hint="eastAsia" w:ascii="Calibri" w:hAnsi="Calibri" w:cs="黑体"/>
                <w:color w:val="000000"/>
                <w:szCs w:val="21"/>
              </w:rPr>
            </w:pPr>
            <w:r>
              <w:rPr>
                <w:rFonts w:hint="eastAsia" w:ascii="宋体" w:hAnsi="宋体" w:eastAsia="宋体" w:cs="宋体"/>
                <w:b w:val="0"/>
                <w:color w:val="000000"/>
                <w:sz w:val="21"/>
                <w:szCs w:val="21"/>
              </w:rPr>
              <w:t>3</w:t>
            </w:r>
          </w:p>
        </w:tc>
        <w:tc>
          <w:tcPr>
            <w:tcW w:w="1276" w:type="dxa"/>
            <w:tcBorders>
              <w:top w:val="single" w:color="auto" w:sz="4" w:space="0"/>
              <w:left w:val="single" w:color="auto" w:sz="4" w:space="0"/>
              <w:bottom w:val="single" w:color="auto" w:sz="4" w:space="0"/>
              <w:right w:val="single" w:color="auto" w:sz="4" w:space="0"/>
            </w:tcBorders>
            <w:vAlign w:val="center"/>
          </w:tcPr>
          <w:p w14:paraId="06CF94DE">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激光打印机</w:t>
            </w:r>
          </w:p>
        </w:tc>
        <w:tc>
          <w:tcPr>
            <w:tcW w:w="1276" w:type="dxa"/>
            <w:tcBorders>
              <w:top w:val="single" w:color="auto" w:sz="4" w:space="0"/>
              <w:left w:val="single" w:color="auto" w:sz="4" w:space="0"/>
              <w:bottom w:val="single" w:color="auto" w:sz="4" w:space="0"/>
              <w:right w:val="single" w:color="auto" w:sz="4" w:space="0"/>
            </w:tcBorders>
            <w:vAlign w:val="center"/>
          </w:tcPr>
          <w:p w14:paraId="648EBF45">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 xml:space="preserve">品牌:HP </w:t>
            </w:r>
          </w:p>
          <w:p w14:paraId="534CA3DD">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型号: 1008a</w:t>
            </w:r>
          </w:p>
          <w:p w14:paraId="3E374168">
            <w:pPr>
              <w:snapToGrid w:val="0"/>
              <w:spacing w:before="0" w:after="0" w:line="540" w:lineRule="exact"/>
              <w:ind w:left="0" w:right="0" w:firstLine="0"/>
              <w:jc w:val="center"/>
              <w:rPr>
                <w:rFonts w:ascii="Calibri" w:hAnsi="Calibri" w:cs="黑体"/>
                <w:color w:val="000000"/>
                <w:szCs w:val="21"/>
              </w:rPr>
            </w:pPr>
          </w:p>
        </w:tc>
        <w:tc>
          <w:tcPr>
            <w:tcW w:w="5528" w:type="dxa"/>
            <w:tcBorders>
              <w:top w:val="single" w:color="auto" w:sz="4" w:space="0"/>
              <w:left w:val="single" w:color="auto" w:sz="4" w:space="0"/>
              <w:bottom w:val="single" w:color="auto" w:sz="4" w:space="0"/>
              <w:right w:val="single" w:color="auto" w:sz="4" w:space="0"/>
            </w:tcBorders>
            <w:vAlign w:val="center"/>
          </w:tcPr>
          <w:p w14:paraId="68D510BD">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1.内存：≥64MB；</w:t>
            </w:r>
          </w:p>
          <w:p w14:paraId="50F01A52">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2.接口：USB2.0≥1个；</w:t>
            </w:r>
          </w:p>
          <w:p w14:paraId="262E98B4">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3.最大打印幅面：≥A4；</w:t>
            </w:r>
          </w:p>
          <w:p w14:paraId="64A4EDDB">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4.最高分辨率：≥1200×1200dpi；</w:t>
            </w:r>
          </w:p>
          <w:p w14:paraId="2645DACE">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5.首页打印时间：A4≤8.3秒；</w:t>
            </w:r>
          </w:p>
          <w:p w14:paraId="60E7C80E">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6.最大打印速度：≥20 页/分钟（黑色）；</w:t>
            </w:r>
          </w:p>
          <w:p w14:paraId="36F2BC45">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7.月打印负荷：≥10000页。</w:t>
            </w:r>
          </w:p>
        </w:tc>
      </w:tr>
      <w:tr w14:paraId="2A8A8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92" w:type="dxa"/>
            <w:tcBorders>
              <w:top w:val="single" w:color="auto" w:sz="4" w:space="0"/>
              <w:left w:val="single" w:color="auto" w:sz="4" w:space="0"/>
              <w:bottom w:val="single" w:color="auto" w:sz="4" w:space="0"/>
              <w:right w:val="single" w:color="auto" w:sz="4" w:space="0"/>
            </w:tcBorders>
            <w:vAlign w:val="center"/>
          </w:tcPr>
          <w:p w14:paraId="7EEA3B4C">
            <w:pPr>
              <w:snapToGrid w:val="0"/>
              <w:spacing w:before="0" w:after="0" w:line="540" w:lineRule="exact"/>
              <w:ind w:left="0" w:right="0" w:firstLine="0"/>
              <w:jc w:val="center"/>
              <w:rPr>
                <w:rFonts w:hint="eastAsia" w:ascii="Calibri" w:hAnsi="Calibri" w:cs="黑体"/>
                <w:color w:val="000000"/>
                <w:szCs w:val="21"/>
              </w:rPr>
            </w:pPr>
            <w:r>
              <w:rPr>
                <w:rFonts w:hint="eastAsia" w:ascii="宋体" w:hAnsi="宋体" w:eastAsia="宋体" w:cs="宋体"/>
                <w:b w:val="0"/>
                <w:color w:val="000000"/>
                <w:sz w:val="21"/>
                <w:szCs w:val="21"/>
              </w:rPr>
              <w:t>4</w:t>
            </w:r>
          </w:p>
        </w:tc>
        <w:tc>
          <w:tcPr>
            <w:tcW w:w="1276" w:type="dxa"/>
            <w:tcBorders>
              <w:top w:val="single" w:color="auto" w:sz="4" w:space="0"/>
              <w:left w:val="single" w:color="auto" w:sz="4" w:space="0"/>
              <w:bottom w:val="single" w:color="auto" w:sz="4" w:space="0"/>
              <w:right w:val="single" w:color="auto" w:sz="4" w:space="0"/>
            </w:tcBorders>
            <w:vAlign w:val="center"/>
          </w:tcPr>
          <w:p w14:paraId="7AF1D475">
            <w:pPr>
              <w:snapToGrid w:val="0"/>
              <w:spacing w:before="0" w:after="0" w:line="540" w:lineRule="exact"/>
              <w:ind w:left="0" w:right="0" w:firstLine="0"/>
              <w:jc w:val="center"/>
              <w:rPr>
                <w:rFonts w:ascii="Calibri" w:hAnsi="Calibri" w:cs="黑体"/>
                <w:color w:val="000000"/>
                <w:szCs w:val="21"/>
              </w:rPr>
            </w:pPr>
            <w:r>
              <w:rPr>
                <w:rFonts w:hint="eastAsia" w:ascii="宋体" w:hAnsi="宋体" w:eastAsia="宋体" w:cs="宋体"/>
                <w:b w:val="0"/>
                <w:color w:val="000000"/>
                <w:sz w:val="21"/>
                <w:szCs w:val="21"/>
              </w:rPr>
              <w:t>仿真大屏</w:t>
            </w:r>
          </w:p>
        </w:tc>
        <w:tc>
          <w:tcPr>
            <w:tcW w:w="1276" w:type="dxa"/>
            <w:tcBorders>
              <w:top w:val="single" w:color="auto" w:sz="4" w:space="0"/>
              <w:left w:val="single" w:color="auto" w:sz="4" w:space="0"/>
              <w:bottom w:val="single" w:color="auto" w:sz="4" w:space="0"/>
              <w:right w:val="single" w:color="auto" w:sz="4" w:space="0"/>
            </w:tcBorders>
            <w:vAlign w:val="center"/>
          </w:tcPr>
          <w:p w14:paraId="2A708477">
            <w:pPr>
              <w:spacing w:before="0" w:after="0" w:line="540" w:lineRule="exact"/>
              <w:ind w:left="0" w:right="0" w:firstLine="0"/>
              <w:jc w:val="center"/>
              <w:rPr>
                <w:rFonts w:ascii="Calibri" w:hAnsi="Calibri" w:cs="黑体"/>
                <w:color w:val="000000"/>
                <w:szCs w:val="21"/>
                <w:lang w:bidi="ar"/>
              </w:rPr>
            </w:pPr>
            <w:r>
              <w:rPr>
                <w:rFonts w:hint="eastAsia" w:ascii="宋体" w:hAnsi="宋体" w:eastAsia="宋体" w:cs="宋体"/>
                <w:b w:val="0"/>
                <w:color w:val="000000"/>
                <w:sz w:val="21"/>
                <w:szCs w:val="21"/>
                <w:lang w:bidi="ar"/>
              </w:rPr>
              <w:t>品牌：联想</w:t>
            </w:r>
          </w:p>
          <w:p w14:paraId="39969BBA">
            <w:pPr>
              <w:spacing w:before="0" w:after="0" w:line="540" w:lineRule="exact"/>
              <w:ind w:left="0" w:right="0" w:firstLine="0"/>
              <w:jc w:val="center"/>
              <w:rPr>
                <w:rFonts w:ascii="Calibri" w:hAnsi="Calibri" w:cs="黑体"/>
                <w:color w:val="000000"/>
                <w:szCs w:val="21"/>
                <w:lang w:bidi="ar"/>
              </w:rPr>
            </w:pPr>
            <w:r>
              <w:rPr>
                <w:rFonts w:hint="eastAsia" w:ascii="宋体" w:hAnsi="宋体" w:eastAsia="宋体" w:cs="宋体"/>
                <w:b w:val="0"/>
                <w:color w:val="000000"/>
                <w:sz w:val="21"/>
                <w:szCs w:val="21"/>
                <w:lang w:bidi="ar"/>
              </w:rPr>
              <w:t xml:space="preserve">型号： </w:t>
            </w:r>
          </w:p>
          <w:p w14:paraId="61E107E2">
            <w:pPr>
              <w:snapToGrid w:val="0"/>
              <w:spacing w:before="0" w:after="0" w:line="540" w:lineRule="exact"/>
              <w:ind w:left="0" w:right="0" w:firstLine="0"/>
              <w:jc w:val="center"/>
              <w:rPr>
                <w:rFonts w:ascii="Calibri" w:hAnsi="Calibri" w:cs="黑体"/>
                <w:color w:val="000000"/>
                <w:szCs w:val="21"/>
              </w:rPr>
            </w:pPr>
          </w:p>
        </w:tc>
        <w:tc>
          <w:tcPr>
            <w:tcW w:w="5528" w:type="dxa"/>
            <w:tcBorders>
              <w:top w:val="single" w:color="auto" w:sz="4" w:space="0"/>
              <w:left w:val="single" w:color="auto" w:sz="4" w:space="0"/>
              <w:bottom w:val="single" w:color="auto" w:sz="4" w:space="0"/>
              <w:right w:val="single" w:color="auto" w:sz="4" w:space="0"/>
            </w:tcBorders>
            <w:vAlign w:val="center"/>
          </w:tcPr>
          <w:p w14:paraId="10F856BA">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1.尺寸：≥65英寸；</w:t>
            </w:r>
          </w:p>
          <w:p w14:paraId="2223C715">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2.分辨率：3840 x 2160；</w:t>
            </w:r>
          </w:p>
          <w:p w14:paraId="51993C3B">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3.显示比例：16:9；</w:t>
            </w:r>
          </w:p>
          <w:p w14:paraId="7EA887D6">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4.屏对比度：4000:1；</w:t>
            </w:r>
          </w:p>
          <w:p w14:paraId="227005DE">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5.扬声器：有；</w:t>
            </w:r>
          </w:p>
          <w:p w14:paraId="3E9DE97E">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6.无线WiFi： 2.4G/5G ；</w:t>
            </w:r>
          </w:p>
          <w:p w14:paraId="4B136A6D">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1"/>
              </w:rPr>
              <w:t>7.蓝牙：5.0；</w:t>
            </w:r>
          </w:p>
          <w:p w14:paraId="42E6C7C4">
            <w:pPr>
              <w:spacing w:before="0" w:after="0" w:line="540" w:lineRule="exact"/>
              <w:ind w:left="0" w:right="0" w:firstLine="0"/>
              <w:jc w:val="center"/>
              <w:rPr>
                <w:rFonts w:ascii="宋体" w:hAnsi="宋体" w:cs="宋体"/>
                <w:szCs w:val="21"/>
              </w:rPr>
            </w:pPr>
            <w:r>
              <w:rPr>
                <w:rFonts w:hint="eastAsia" w:ascii="宋体" w:hAnsi="宋体" w:eastAsia="宋体" w:cs="宋体"/>
                <w:b w:val="0"/>
                <w:sz w:val="21"/>
                <w:szCs w:val="22"/>
              </w:rPr>
              <w:t>8.包含一套可移动支架；</w:t>
            </w:r>
          </w:p>
        </w:tc>
      </w:tr>
    </w:tbl>
    <w:p w14:paraId="1E7CD13B">
      <w:pPr>
        <w:adjustRightInd w:val="0"/>
        <w:snapToGrid w:val="0"/>
        <w:spacing w:before="0" w:after="0" w:line="540" w:lineRule="exact"/>
        <w:rPr>
          <w:rFonts w:ascii="仿宋" w:hAnsi="仿宋" w:eastAsia="仿宋" w:cs="仿宋"/>
          <w:b/>
          <w:sz w:val="28"/>
          <w:szCs w:val="28"/>
        </w:rPr>
      </w:pPr>
    </w:p>
    <w:p w14:paraId="35738F37">
      <w:pPr>
        <w:widowControl/>
        <w:spacing w:before="0" w:after="0" w:line="540" w:lineRule="exact"/>
        <w:ind w:left="0" w:right="0" w:firstLine="560"/>
        <w:jc w:val="both"/>
        <w:outlineLvl w:val="0"/>
        <w:rPr>
          <w:rFonts w:hint="eastAsia" w:ascii="仿宋" w:hAnsi="仿宋" w:eastAsia="仿宋" w:cs="仿宋"/>
          <w:sz w:val="28"/>
          <w:szCs w:val="28"/>
        </w:rPr>
      </w:pPr>
      <w:bookmarkStart w:id="14" w:name="_Toc1428884042"/>
      <w:r>
        <w:rPr>
          <w:rFonts w:hint="eastAsia" w:ascii="黑体" w:hAnsi="黑体" w:eastAsia="黑体" w:cs="黑体"/>
          <w:b w:val="0"/>
          <w:bCs w:val="0"/>
          <w:color w:val="000000"/>
          <w:kern w:val="0"/>
          <w:sz w:val="28"/>
          <w:szCs w:val="28"/>
          <w:lang w:bidi="ar"/>
        </w:rPr>
        <w:t>十一、成绩评定</w:t>
      </w:r>
      <w:bookmarkEnd w:id="14"/>
      <w:r>
        <w:rPr>
          <w:rFonts w:hint="eastAsia" w:ascii="黑体" w:hAnsi="黑体" w:eastAsia="黑体" w:cs="黑体"/>
          <w:b w:val="0"/>
          <w:bCs w:val="0"/>
          <w:color w:val="000000"/>
          <w:kern w:val="0"/>
          <w:sz w:val="28"/>
          <w:szCs w:val="28"/>
          <w:lang w:bidi="ar"/>
        </w:rPr>
        <w:t xml:space="preserve"> </w:t>
      </w:r>
    </w:p>
    <w:p w14:paraId="2D49EF19">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（一）评分标准 </w:t>
      </w:r>
    </w:p>
    <w:p w14:paraId="08665BD1">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1.评分标准的制订原则 </w:t>
      </w:r>
    </w:p>
    <w:p w14:paraId="59DD0A36">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赛项裁判组负责赛项成绩评定工作。评分标准以“公平、公正、 公开”为原则，采用过程评分和结果评分两种方式。 </w:t>
      </w:r>
    </w:p>
    <w:p w14:paraId="0FDD96AE">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2.组织分工 </w:t>
      </w:r>
    </w:p>
    <w:p w14:paraId="42EA5B9D">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成立由检录组、裁判组、监督仲裁组组成的成绩管理组织机构。 </w:t>
      </w:r>
    </w:p>
    <w:p w14:paraId="33C97E09">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参照《全国职业院校技能大赛专家和裁判工作管理办法》的有关要求， </w:t>
      </w:r>
    </w:p>
    <w:p w14:paraId="53F4FD9A">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要求裁判人员分别来自物流企业、非参赛院校、非赛项合作企业。 </w:t>
      </w:r>
    </w:p>
    <w:p w14:paraId="78B1F115">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裁判数量要求：共</w:t>
      </w:r>
      <w:r>
        <w:rPr>
          <w:rFonts w:hint="eastAsia" w:ascii="仿宋_GB2312" w:hAnsi="仿宋_GB2312" w:eastAsia="仿宋_GB2312" w:cs="仿宋_GB2312"/>
          <w:b w:val="0"/>
          <w:color w:val="000000"/>
          <w:kern w:val="0"/>
          <w:sz w:val="28"/>
          <w:szCs w:val="28"/>
          <w:lang w:eastAsia="zh-Hans" w:bidi="ar"/>
        </w:rPr>
        <w:t>名</w:t>
      </w:r>
      <w:r>
        <w:rPr>
          <w:rFonts w:hint="eastAsia" w:ascii="仿宋_GB2312" w:hAnsi="仿宋_GB2312" w:eastAsia="仿宋_GB2312" w:cs="仿宋_GB2312"/>
          <w:b w:val="0"/>
          <w:color w:val="000000"/>
          <w:kern w:val="0"/>
          <w:sz w:val="28"/>
          <w:szCs w:val="28"/>
          <w:lang w:bidi="ar"/>
        </w:rPr>
        <w:t xml:space="preserve">6裁判，其中： </w:t>
      </w:r>
    </w:p>
    <w:p w14:paraId="5D7AA14C">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现场裁判</w:t>
      </w:r>
      <w:r>
        <w:rPr>
          <w:rFonts w:ascii="仿宋_GB2312" w:hAnsi="仿宋_GB2312" w:eastAsia="仿宋_GB2312" w:cs="仿宋_GB2312"/>
          <w:b w:val="0"/>
          <w:color w:val="000000"/>
          <w:kern w:val="0"/>
          <w:sz w:val="28"/>
          <w:szCs w:val="28"/>
          <w:lang w:bidi="ar"/>
        </w:rPr>
        <w:t>3</w:t>
      </w:r>
      <w:r>
        <w:rPr>
          <w:rFonts w:hint="eastAsia" w:ascii="仿宋_GB2312" w:hAnsi="仿宋_GB2312" w:eastAsia="仿宋_GB2312" w:cs="仿宋_GB2312"/>
          <w:b w:val="0"/>
          <w:color w:val="000000"/>
          <w:kern w:val="0"/>
          <w:sz w:val="28"/>
          <w:szCs w:val="28"/>
          <w:lang w:bidi="ar"/>
        </w:rPr>
        <w:t xml:space="preserve">人 </w:t>
      </w:r>
    </w:p>
    <w:p w14:paraId="448AC563">
      <w:pPr>
        <w:widowControl/>
        <w:spacing w:before="0" w:after="0" w:line="540" w:lineRule="exact"/>
        <w:ind w:left="0" w:right="0" w:firstLine="56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 xml:space="preserve"> 评分裁判 </w:t>
      </w:r>
      <w:r>
        <w:rPr>
          <w:rFonts w:ascii="仿宋_GB2312" w:hAnsi="仿宋_GB2312" w:eastAsia="仿宋_GB2312" w:cs="仿宋_GB2312"/>
          <w:b w:val="0"/>
          <w:color w:val="000000"/>
          <w:kern w:val="0"/>
          <w:sz w:val="28"/>
          <w:szCs w:val="28"/>
          <w:lang w:bidi="ar"/>
        </w:rPr>
        <w:t>3</w:t>
      </w:r>
      <w:r>
        <w:rPr>
          <w:rFonts w:hint="eastAsia" w:ascii="仿宋_GB2312" w:hAnsi="仿宋_GB2312" w:eastAsia="仿宋_GB2312" w:cs="仿宋_GB2312"/>
          <w:b w:val="0"/>
          <w:color w:val="000000"/>
          <w:kern w:val="0"/>
          <w:sz w:val="28"/>
          <w:szCs w:val="28"/>
          <w:lang w:bidi="ar"/>
        </w:rPr>
        <w:t xml:space="preserve"> 人 </w:t>
      </w:r>
    </w:p>
    <w:p w14:paraId="1AC34C92">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具体要求与分工如下： </w:t>
      </w:r>
    </w:p>
    <w:p w14:paraId="515D3C34">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（1）检录工作人员负责对参赛选手进行点名登记、身份核对等工作。检录工作由赛项承办院校工作人员承担。 </w:t>
      </w:r>
    </w:p>
    <w:p w14:paraId="00DB7574">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（2）裁判组实行“裁判长负责制”，全面负责赛项的裁判管理 </w:t>
      </w:r>
    </w:p>
    <w:p w14:paraId="7E359F74">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工作并处理比赛中出现的争议问题。 </w:t>
      </w:r>
    </w:p>
    <w:p w14:paraId="6A332DCF">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（3）裁判报到后实行封闭管理。每天比赛前 1 小时通过抽签方 </w:t>
      </w:r>
    </w:p>
    <w:p w14:paraId="48714F91">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式，初步确定裁判执裁工位，裁判不能执裁同</w:t>
      </w:r>
      <w:r>
        <w:rPr>
          <w:rFonts w:hint="eastAsia" w:ascii="仿宋_GB2312" w:hAnsi="仿宋_GB2312" w:eastAsia="仿宋_GB2312" w:cs="仿宋_GB2312"/>
          <w:b w:val="0"/>
          <w:color w:val="000000"/>
          <w:kern w:val="0"/>
          <w:sz w:val="28"/>
          <w:szCs w:val="28"/>
          <w:lang w:eastAsia="zh-Hans" w:bidi="ar"/>
        </w:rPr>
        <w:t>校</w:t>
      </w:r>
      <w:r>
        <w:rPr>
          <w:rFonts w:hint="eastAsia" w:ascii="仿宋_GB2312" w:hAnsi="仿宋_GB2312" w:eastAsia="仿宋_GB2312" w:cs="仿宋_GB2312"/>
          <w:b w:val="0"/>
          <w:color w:val="000000"/>
          <w:kern w:val="0"/>
          <w:sz w:val="28"/>
          <w:szCs w:val="28"/>
          <w:lang w:bidi="ar"/>
        </w:rPr>
        <w:t xml:space="preserve">参赛队。 </w:t>
      </w:r>
    </w:p>
    <w:p w14:paraId="3E0640B2">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（4）裁判员根据比赛需要分为加密裁判、现场裁判、评分裁判。 </w:t>
      </w:r>
    </w:p>
    <w:p w14:paraId="10ECD066">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加密裁判：负责组织参赛选手抽签，对参赛队信息、抽签号等进行加密；各赛项加密裁判由赛区执委会根据赛项要求确定。加密裁判不得参与评分、统分和核分工作。 </w:t>
      </w:r>
    </w:p>
    <w:p w14:paraId="68038376">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现场裁判：按规定做好赛场记录，维护赛场纪律，评判参赛选手的现场作业情况。 </w:t>
      </w:r>
    </w:p>
    <w:p w14:paraId="69D73EB9">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评分裁判：负责对参赛选手的成果文件按赛项评分标准进行评定，并负责核分和统分工作。 </w:t>
      </w:r>
    </w:p>
    <w:p w14:paraId="018E3EE4">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（5）监督仲裁组对裁判组的工作进行全程监督，并对竞赛成绩抽检复核。 </w:t>
      </w:r>
    </w:p>
    <w:p w14:paraId="490F51B9">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（6）监督仲裁组负责接受由参赛队领队提出的对裁判结果的申诉，组织复议并及时反馈复议结果。</w:t>
      </w:r>
    </w:p>
    <w:p w14:paraId="6BBEF614">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3.成绩管理程序</w:t>
      </w:r>
    </w:p>
    <w:p w14:paraId="17F35AB3">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按照全国职业院校技能大赛执委会的明确要求,参赛选手的成绩评定与管理按照严密的程序进行。</w:t>
      </w:r>
    </w:p>
    <w:p w14:paraId="6DEB3B33">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4.成绩评分</w:t>
      </w:r>
    </w:p>
    <w:p w14:paraId="744AF9E0">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(1)过程评判</w:t>
      </w:r>
    </w:p>
    <w:p w14:paraId="7B610B5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现场裁判依据现场评判表进行评判。评判结果由裁判员、裁判长签字确认。</w:t>
      </w:r>
    </w:p>
    <w:p w14:paraId="54FE253C">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(2)结果评判</w:t>
      </w:r>
    </w:p>
    <w:p w14:paraId="34E75407">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评分裁判根据参赛队提交的成果文件,依据评分标准进行评分、统分和核分。</w:t>
      </w:r>
    </w:p>
    <w:p w14:paraId="298F533B">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(3)解密</w:t>
      </w:r>
    </w:p>
    <w:p w14:paraId="7A78CB3B">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在监督仲裁组监督下,由裁判长指定解密裁判启封检录抽签一次加密档案、二次加密档案,找出各参赛队与场次工位对应关系;将竞赛结果分别由场次工位号转换为参赛队,然后进行分值排序,打印封装。</w:t>
      </w:r>
    </w:p>
    <w:p w14:paraId="07199D9C">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(4)总成绩排序</w:t>
      </w:r>
    </w:p>
    <w:p w14:paraId="7CC010DB">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总成绩=1+X 物流职业素养测试成绩×10%+智慧物流系统规划仿真与方案设计×60%+方案汇报答辩成绩× 30%。</w:t>
      </w:r>
    </w:p>
    <w:p w14:paraId="6F53A1A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总成绩保留到小数点后两位,由高到低排序。竞赛成绩相同时,按智慧物流系统规划仿真与方案设计模块成绩进行排序确定;竞赛成绩再相同时,按方案汇报答辩成绩进行排序确定。</w:t>
      </w:r>
    </w:p>
    <w:p w14:paraId="766EA7CA">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(5)抽检复核</w:t>
      </w:r>
    </w:p>
    <w:p w14:paraId="0E27DBE9">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为保障成绩统计的准确性,监督仲裁组对赛项总成绩排名前 30%的所有参赛队伍的成绩进行复核;对其余成绩进行抽检复核,抽检覆盖率不得低于 15%。监督仲裁组将复检中发现的错误通过书面方式及时告知裁判长, 由裁判长更正成绩并签字确认。错误率超过 5%的,则认定为非小概率事件,裁判组需对所有成绩进行复核。</w:t>
      </w:r>
    </w:p>
    <w:p w14:paraId="2A2C1FEF">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5.成绩公布</w:t>
      </w:r>
    </w:p>
    <w:p w14:paraId="79D1E6B1">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(1)公示。所有竞赛结束后记分员将解密后的各参赛队成绩汇总成最终成绩单,经裁判长、监督仲裁长签字后进行公示。</w:t>
      </w:r>
    </w:p>
    <w:p w14:paraId="048C1076">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(2)录入。成绩公示 2 小时无异议后, 由赛务信息员将赛项总成绩的最终结果录入赛务管理系统。</w:t>
      </w:r>
    </w:p>
    <w:p w14:paraId="0C603199">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(3)审核。赛务信息员对成绩数据审核后,将赛务系统中录入的成绩导出打印,经裁判长、监督仲裁长审核签字。</w:t>
      </w:r>
    </w:p>
    <w:p w14:paraId="615B6CEF">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(4)公布。 由裁判长在闭幕式上宣布最终竞赛成绩。</w:t>
      </w:r>
    </w:p>
    <w:p w14:paraId="0B6EE911">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(S)报送。 由赛务信息员将签字的纸质打印成绩单报送赛项执委会和大赛执委会办公室。</w:t>
      </w:r>
    </w:p>
    <w:p w14:paraId="38EFD54B">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（二）评分方法 </w:t>
      </w:r>
    </w:p>
    <w:p w14:paraId="63D666DA">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本次竞赛设立裁判组,由 1 名裁判长、若干名裁判员组成。裁判长负责组织裁判员培训、安排裁判员分工、开展技术点评。裁判员按照公平工作原则和裁判组分工,承担比赛执裁和评分工作,本着廉洁、诚信的原则履行职责,确保大赛公平、公正、公开、透明。</w:t>
      </w:r>
    </w:p>
    <w:p w14:paraId="33349369">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设立各模块裁判小组,严格按照评分细则进行评分,最后进行成绩汇总,并由小组组长审核确认签字,移交裁判长。由裁判长指定其中 2 名裁判员,对分数复查确认,最终生成参赛选手总成绩表,由裁判长及监督仲裁长签字确认后移交竞赛组委会。 </w:t>
      </w:r>
    </w:p>
    <w:p w14:paraId="0307F14C">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（三）评分细则 </w:t>
      </w:r>
    </w:p>
    <w:p w14:paraId="62C0B564">
      <w:pPr>
        <w:widowControl/>
        <w:spacing w:before="0" w:after="0" w:line="540" w:lineRule="exact"/>
        <w:ind w:left="0" w:right="0" w:firstLine="560" w:firstLineChars="200"/>
        <w:jc w:val="center"/>
        <w:rPr>
          <w:rFonts w:hint="eastAsia" w:ascii="仿宋" w:hAnsi="仿宋" w:eastAsia="仿宋" w:cs="仿宋"/>
          <w:b/>
          <w:bCs/>
          <w:color w:val="000000"/>
          <w:kern w:val="0"/>
          <w:sz w:val="28"/>
          <w:szCs w:val="28"/>
          <w:lang w:bidi="ar"/>
        </w:rPr>
      </w:pPr>
      <w:r>
        <w:rPr>
          <w:rFonts w:hint="eastAsia" w:ascii="黑体" w:hAnsi="黑体" w:eastAsia="黑体" w:cs="黑体"/>
          <w:b w:val="0"/>
          <w:bCs w:val="0"/>
          <w:color w:val="000000"/>
          <w:kern w:val="0"/>
          <w:sz w:val="28"/>
          <w:szCs w:val="28"/>
          <w:lang w:bidi="ar"/>
        </w:rPr>
        <w:t>表1 1+X 物流职业素养测试模块评分细则</w:t>
      </w:r>
    </w:p>
    <w:tbl>
      <w:tblPr>
        <w:tblStyle w:val="24"/>
        <w:tblW w:w="884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3"/>
        <w:gridCol w:w="2129"/>
        <w:gridCol w:w="3359"/>
        <w:gridCol w:w="905"/>
      </w:tblGrid>
      <w:tr w14:paraId="18F27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blHeader/>
          <w:jc w:val="center"/>
        </w:trPr>
        <w:tc>
          <w:tcPr>
            <w:tcW w:w="4262" w:type="dxa"/>
            <w:gridSpan w:val="2"/>
            <w:vAlign w:val="center"/>
          </w:tcPr>
          <w:p w14:paraId="15FBB3CC">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spacing w:val="-4"/>
                <w:sz w:val="24"/>
                <w:szCs w:val="28"/>
              </w:rPr>
              <w:t>评</w:t>
            </w:r>
            <w:r>
              <w:rPr>
                <w:rFonts w:hint="eastAsia" w:ascii="宋体" w:hAnsi="宋体" w:eastAsia="宋体" w:cs="宋体"/>
                <w:b/>
                <w:spacing w:val="-2"/>
                <w:sz w:val="24"/>
                <w:szCs w:val="28"/>
              </w:rPr>
              <w:t>分要素</w:t>
            </w:r>
          </w:p>
        </w:tc>
        <w:tc>
          <w:tcPr>
            <w:tcW w:w="3359" w:type="dxa"/>
            <w:vAlign w:val="center"/>
          </w:tcPr>
          <w:p w14:paraId="742D43E4">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spacing w:val="-4"/>
                <w:sz w:val="24"/>
                <w:szCs w:val="28"/>
              </w:rPr>
              <w:t>评</w:t>
            </w:r>
            <w:r>
              <w:rPr>
                <w:rFonts w:hint="eastAsia" w:ascii="宋体" w:hAnsi="宋体" w:eastAsia="宋体" w:cs="宋体"/>
                <w:b/>
                <w:spacing w:val="-2"/>
                <w:sz w:val="24"/>
                <w:szCs w:val="28"/>
              </w:rPr>
              <w:t>分标准</w:t>
            </w:r>
          </w:p>
        </w:tc>
        <w:tc>
          <w:tcPr>
            <w:tcW w:w="905" w:type="dxa"/>
            <w:vAlign w:val="center"/>
          </w:tcPr>
          <w:p w14:paraId="0792772B">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spacing w:val="-5"/>
                <w:sz w:val="24"/>
                <w:szCs w:val="28"/>
              </w:rPr>
              <w:t>赋</w:t>
            </w:r>
            <w:r>
              <w:rPr>
                <w:rFonts w:hint="eastAsia" w:ascii="宋体" w:hAnsi="宋体" w:eastAsia="宋体" w:cs="宋体"/>
                <w:b/>
                <w:spacing w:val="-4"/>
                <w:sz w:val="24"/>
                <w:szCs w:val="28"/>
              </w:rPr>
              <w:t>分</w:t>
            </w:r>
          </w:p>
        </w:tc>
      </w:tr>
      <w:tr w14:paraId="45343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2133" w:type="dxa"/>
            <w:vMerge w:val="restart"/>
            <w:tcBorders>
              <w:bottom w:val="nil"/>
            </w:tcBorders>
            <w:vAlign w:val="center"/>
          </w:tcPr>
          <w:p w14:paraId="0BC05322">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25"/>
                <w:sz w:val="21"/>
                <w:szCs w:val="28"/>
              </w:rPr>
              <w:t>1+X 物</w:t>
            </w:r>
            <w:r>
              <w:rPr>
                <w:rFonts w:hint="eastAsia" w:ascii="宋体" w:hAnsi="宋体" w:cs="宋体"/>
                <w:b w:val="0"/>
                <w:spacing w:val="-25"/>
                <w:sz w:val="21"/>
                <w:szCs w:val="28"/>
                <w:lang w:val="en-US" w:eastAsia="zh-CN"/>
              </w:rPr>
              <w:t xml:space="preserve"> </w:t>
            </w:r>
            <w:r>
              <w:rPr>
                <w:rFonts w:hint="eastAsia" w:ascii="宋体" w:hAnsi="宋体" w:eastAsia="宋体" w:cs="宋体"/>
                <w:b w:val="0"/>
                <w:spacing w:val="-25"/>
                <w:sz w:val="21"/>
                <w:szCs w:val="28"/>
              </w:rPr>
              <w:t>流</w:t>
            </w:r>
            <w:r>
              <w:rPr>
                <w:rFonts w:hint="eastAsia" w:ascii="宋体" w:hAnsi="宋体" w:cs="宋体"/>
                <w:b w:val="0"/>
                <w:spacing w:val="-25"/>
                <w:sz w:val="21"/>
                <w:szCs w:val="28"/>
                <w:lang w:val="en-US" w:eastAsia="zh-CN"/>
              </w:rPr>
              <w:t xml:space="preserve"> </w:t>
            </w:r>
            <w:r>
              <w:rPr>
                <w:rFonts w:hint="eastAsia" w:ascii="宋体" w:hAnsi="宋体" w:eastAsia="宋体" w:cs="宋体"/>
                <w:b w:val="0"/>
                <w:spacing w:val="-25"/>
                <w:sz w:val="21"/>
                <w:szCs w:val="28"/>
              </w:rPr>
              <w:t>职</w:t>
            </w:r>
            <w:r>
              <w:rPr>
                <w:rFonts w:hint="eastAsia" w:ascii="宋体" w:hAnsi="宋体" w:cs="宋体"/>
                <w:b w:val="0"/>
                <w:spacing w:val="-25"/>
                <w:sz w:val="21"/>
                <w:szCs w:val="28"/>
                <w:lang w:val="en-US" w:eastAsia="zh-CN"/>
              </w:rPr>
              <w:t xml:space="preserve"> </w:t>
            </w:r>
            <w:r>
              <w:rPr>
                <w:rFonts w:hint="eastAsia" w:ascii="宋体" w:hAnsi="宋体" w:eastAsia="宋体" w:cs="宋体"/>
                <w:b w:val="0"/>
                <w:spacing w:val="-25"/>
                <w:sz w:val="21"/>
                <w:szCs w:val="28"/>
              </w:rPr>
              <w:t>业</w:t>
            </w:r>
            <w:r>
              <w:rPr>
                <w:rFonts w:hint="eastAsia" w:ascii="宋体" w:hAnsi="宋体" w:cs="宋体"/>
                <w:b w:val="0"/>
                <w:spacing w:val="-25"/>
                <w:sz w:val="21"/>
                <w:szCs w:val="28"/>
                <w:lang w:val="en-US" w:eastAsia="zh-CN"/>
              </w:rPr>
              <w:t xml:space="preserve"> </w:t>
            </w:r>
            <w:r>
              <w:rPr>
                <w:rFonts w:hint="eastAsia" w:ascii="宋体" w:hAnsi="宋体" w:eastAsia="宋体" w:cs="宋体"/>
                <w:b w:val="0"/>
                <w:spacing w:val="-25"/>
                <w:sz w:val="21"/>
                <w:szCs w:val="28"/>
              </w:rPr>
              <w:t>素</w:t>
            </w:r>
            <w:r>
              <w:rPr>
                <w:rFonts w:hint="eastAsia" w:ascii="宋体" w:hAnsi="宋体" w:cs="宋体"/>
                <w:b w:val="0"/>
                <w:spacing w:val="-25"/>
                <w:sz w:val="21"/>
                <w:szCs w:val="28"/>
                <w:lang w:val="en-US" w:eastAsia="zh-CN"/>
              </w:rPr>
              <w:t xml:space="preserve"> </w:t>
            </w:r>
            <w:r>
              <w:rPr>
                <w:rFonts w:hint="eastAsia" w:ascii="宋体" w:hAnsi="宋体" w:eastAsia="宋体" w:cs="宋体"/>
                <w:b w:val="0"/>
                <w:spacing w:val="-25"/>
                <w:sz w:val="21"/>
                <w:szCs w:val="28"/>
              </w:rPr>
              <w:t>养</w:t>
            </w:r>
            <w:r>
              <w:rPr>
                <w:rFonts w:hint="eastAsia" w:ascii="宋体" w:hAnsi="宋体" w:cs="宋体"/>
                <w:b w:val="0"/>
                <w:spacing w:val="-25"/>
                <w:sz w:val="21"/>
                <w:szCs w:val="28"/>
                <w:lang w:val="en-US" w:eastAsia="zh-CN"/>
              </w:rPr>
              <w:t xml:space="preserve"> </w:t>
            </w:r>
            <w:r>
              <w:rPr>
                <w:rFonts w:hint="eastAsia" w:ascii="宋体" w:hAnsi="宋体" w:eastAsia="宋体" w:cs="宋体"/>
                <w:b w:val="0"/>
                <w:spacing w:val="-25"/>
                <w:sz w:val="21"/>
                <w:szCs w:val="28"/>
              </w:rPr>
              <w:t>测</w:t>
            </w:r>
            <w:r>
              <w:rPr>
                <w:rFonts w:hint="eastAsia" w:ascii="宋体" w:hAnsi="宋体" w:cs="宋体"/>
                <w:b w:val="0"/>
                <w:spacing w:val="-25"/>
                <w:sz w:val="21"/>
                <w:szCs w:val="28"/>
                <w:lang w:val="en-US" w:eastAsia="zh-CN"/>
              </w:rPr>
              <w:t xml:space="preserve"> </w:t>
            </w:r>
            <w:r>
              <w:rPr>
                <w:rFonts w:hint="eastAsia" w:ascii="宋体" w:hAnsi="宋体" w:eastAsia="宋体" w:cs="宋体"/>
                <w:b w:val="0"/>
                <w:spacing w:val="-25"/>
                <w:sz w:val="21"/>
                <w:szCs w:val="28"/>
              </w:rPr>
              <w:t>试</w:t>
            </w:r>
          </w:p>
        </w:tc>
        <w:tc>
          <w:tcPr>
            <w:tcW w:w="2129" w:type="dxa"/>
            <w:vAlign w:val="center"/>
          </w:tcPr>
          <w:p w14:paraId="6C41FFB6">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5"/>
                <w:sz w:val="21"/>
                <w:szCs w:val="28"/>
              </w:rPr>
              <w:t>单</w:t>
            </w:r>
            <w:r>
              <w:rPr>
                <w:rFonts w:hint="eastAsia" w:ascii="宋体" w:hAnsi="宋体" w:eastAsia="宋体" w:cs="宋体"/>
                <w:b w:val="0"/>
                <w:spacing w:val="-3"/>
                <w:sz w:val="21"/>
                <w:szCs w:val="28"/>
              </w:rPr>
              <w:t>项选择题</w:t>
            </w:r>
          </w:p>
        </w:tc>
        <w:tc>
          <w:tcPr>
            <w:tcW w:w="3359" w:type="dxa"/>
            <w:vAlign w:val="center"/>
          </w:tcPr>
          <w:p w14:paraId="3AFBEA72">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21"/>
                <w:sz w:val="21"/>
                <w:szCs w:val="28"/>
              </w:rPr>
              <w:t xml:space="preserve">共 50 小题，每小题1 </w:t>
            </w:r>
            <w:r>
              <w:rPr>
                <w:rFonts w:hint="eastAsia" w:ascii="宋体" w:hAnsi="宋体" w:eastAsia="宋体" w:cs="宋体"/>
                <w:b w:val="0"/>
                <w:spacing w:val="-20"/>
                <w:sz w:val="21"/>
                <w:szCs w:val="28"/>
              </w:rPr>
              <w:t>分</w:t>
            </w:r>
          </w:p>
        </w:tc>
        <w:tc>
          <w:tcPr>
            <w:tcW w:w="905" w:type="dxa"/>
            <w:vAlign w:val="center"/>
          </w:tcPr>
          <w:p w14:paraId="6D5DDEAB">
            <w:pPr>
              <w:spacing w:before="0" w:after="0" w:line="540" w:lineRule="exact"/>
              <w:ind w:left="0" w:right="0" w:firstLine="0"/>
              <w:jc w:val="center"/>
              <w:rPr>
                <w:rFonts w:ascii="仿宋" w:hAnsi="仿宋" w:eastAsia="仿宋" w:cs="仿宋"/>
                <w:sz w:val="28"/>
                <w:szCs w:val="28"/>
              </w:rPr>
            </w:pPr>
            <w:r>
              <w:rPr>
                <w:rFonts w:hint="eastAsia" w:ascii="宋体" w:hAnsi="宋体" w:eastAsia="宋体" w:cs="宋体"/>
                <w:b w:val="0"/>
                <w:spacing w:val="-12"/>
                <w:sz w:val="21"/>
                <w:szCs w:val="28"/>
              </w:rPr>
              <w:t>50</w:t>
            </w:r>
          </w:p>
        </w:tc>
      </w:tr>
      <w:tr w14:paraId="7E7DC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2133" w:type="dxa"/>
            <w:vMerge w:val="continue"/>
            <w:tcBorders>
              <w:top w:val="nil"/>
              <w:bottom w:val="nil"/>
            </w:tcBorders>
          </w:tcPr>
          <w:p w14:paraId="7FFC612C">
            <w:pPr>
              <w:rPr>
                <w:rFonts w:hint="eastAsia" w:ascii="仿宋" w:hAnsi="仿宋" w:eastAsia="仿宋" w:cs="仿宋"/>
                <w:sz w:val="28"/>
                <w:szCs w:val="28"/>
              </w:rPr>
            </w:pPr>
          </w:p>
        </w:tc>
        <w:tc>
          <w:tcPr>
            <w:tcW w:w="2129" w:type="dxa"/>
            <w:vAlign w:val="center"/>
          </w:tcPr>
          <w:p w14:paraId="1028C754">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5"/>
                <w:sz w:val="21"/>
                <w:szCs w:val="28"/>
              </w:rPr>
              <w:t>多项选择题</w:t>
            </w:r>
          </w:p>
        </w:tc>
        <w:tc>
          <w:tcPr>
            <w:tcW w:w="3359" w:type="dxa"/>
            <w:vAlign w:val="center"/>
          </w:tcPr>
          <w:p w14:paraId="07739C30">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30"/>
                <w:sz w:val="21"/>
                <w:szCs w:val="28"/>
              </w:rPr>
              <w:t>共</w:t>
            </w:r>
            <w:r>
              <w:rPr>
                <w:rFonts w:hint="eastAsia" w:ascii="宋体" w:hAnsi="宋体" w:eastAsia="宋体" w:cs="宋体"/>
                <w:b w:val="0"/>
                <w:spacing w:val="-18"/>
                <w:sz w:val="21"/>
                <w:szCs w:val="28"/>
              </w:rPr>
              <w:t xml:space="preserve"> 20 小题，每小题 1 分</w:t>
            </w:r>
          </w:p>
        </w:tc>
        <w:tc>
          <w:tcPr>
            <w:tcW w:w="905" w:type="dxa"/>
            <w:vAlign w:val="center"/>
          </w:tcPr>
          <w:p w14:paraId="793B9987">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12"/>
                <w:sz w:val="21"/>
                <w:szCs w:val="28"/>
              </w:rPr>
              <w:t>2</w:t>
            </w:r>
            <w:r>
              <w:rPr>
                <w:rFonts w:hint="eastAsia" w:ascii="宋体" w:hAnsi="宋体" w:eastAsia="宋体" w:cs="宋体"/>
                <w:b w:val="0"/>
                <w:spacing w:val="-10"/>
                <w:sz w:val="21"/>
                <w:szCs w:val="28"/>
              </w:rPr>
              <w:t>0</w:t>
            </w:r>
          </w:p>
        </w:tc>
      </w:tr>
      <w:tr w14:paraId="7E33C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2133" w:type="dxa"/>
            <w:vMerge w:val="continue"/>
            <w:tcBorders>
              <w:top w:val="nil"/>
              <w:bottom w:val="nil"/>
            </w:tcBorders>
          </w:tcPr>
          <w:p w14:paraId="39CDA81A">
            <w:pPr>
              <w:rPr>
                <w:rFonts w:hint="eastAsia" w:ascii="仿宋" w:hAnsi="仿宋" w:eastAsia="仿宋" w:cs="仿宋"/>
                <w:sz w:val="28"/>
                <w:szCs w:val="28"/>
              </w:rPr>
            </w:pPr>
          </w:p>
        </w:tc>
        <w:tc>
          <w:tcPr>
            <w:tcW w:w="2129" w:type="dxa"/>
            <w:vAlign w:val="center"/>
          </w:tcPr>
          <w:p w14:paraId="21B6C770">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8"/>
                <w:sz w:val="21"/>
                <w:szCs w:val="28"/>
              </w:rPr>
              <w:t>判</w:t>
            </w:r>
            <w:r>
              <w:rPr>
                <w:rFonts w:hint="eastAsia" w:ascii="宋体" w:hAnsi="宋体" w:eastAsia="宋体" w:cs="宋体"/>
                <w:b w:val="0"/>
                <w:spacing w:val="-7"/>
                <w:sz w:val="21"/>
                <w:szCs w:val="28"/>
              </w:rPr>
              <w:t>断题</w:t>
            </w:r>
          </w:p>
        </w:tc>
        <w:tc>
          <w:tcPr>
            <w:tcW w:w="3359" w:type="dxa"/>
            <w:vAlign w:val="center"/>
          </w:tcPr>
          <w:p w14:paraId="7C0DCCEE">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30"/>
                <w:sz w:val="21"/>
                <w:szCs w:val="28"/>
              </w:rPr>
              <w:t>共</w:t>
            </w:r>
            <w:r>
              <w:rPr>
                <w:rFonts w:hint="eastAsia" w:ascii="宋体" w:hAnsi="宋体" w:eastAsia="宋体" w:cs="宋体"/>
                <w:b w:val="0"/>
                <w:spacing w:val="-18"/>
                <w:sz w:val="21"/>
                <w:szCs w:val="28"/>
              </w:rPr>
              <w:t xml:space="preserve"> 20 小题，每小题 1 分</w:t>
            </w:r>
          </w:p>
        </w:tc>
        <w:tc>
          <w:tcPr>
            <w:tcW w:w="905" w:type="dxa"/>
            <w:vAlign w:val="center"/>
          </w:tcPr>
          <w:p w14:paraId="387BBDF9">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12"/>
                <w:sz w:val="21"/>
                <w:szCs w:val="28"/>
              </w:rPr>
              <w:t>2</w:t>
            </w:r>
            <w:r>
              <w:rPr>
                <w:rFonts w:hint="eastAsia" w:ascii="宋体" w:hAnsi="宋体" w:eastAsia="宋体" w:cs="宋体"/>
                <w:b w:val="0"/>
                <w:spacing w:val="-10"/>
                <w:sz w:val="21"/>
                <w:szCs w:val="28"/>
              </w:rPr>
              <w:t>0</w:t>
            </w:r>
          </w:p>
        </w:tc>
      </w:tr>
      <w:tr w14:paraId="793D6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jc w:val="center"/>
        </w:trPr>
        <w:tc>
          <w:tcPr>
            <w:tcW w:w="2133" w:type="dxa"/>
            <w:vMerge w:val="continue"/>
            <w:tcBorders>
              <w:top w:val="nil"/>
            </w:tcBorders>
          </w:tcPr>
          <w:p w14:paraId="239FEEE8">
            <w:pPr>
              <w:rPr>
                <w:rFonts w:hint="eastAsia" w:ascii="仿宋" w:hAnsi="仿宋" w:eastAsia="仿宋" w:cs="仿宋"/>
                <w:sz w:val="28"/>
                <w:szCs w:val="28"/>
              </w:rPr>
            </w:pPr>
          </w:p>
        </w:tc>
        <w:tc>
          <w:tcPr>
            <w:tcW w:w="2129" w:type="dxa"/>
            <w:vAlign w:val="center"/>
          </w:tcPr>
          <w:p w14:paraId="499CFF71">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7"/>
                <w:sz w:val="21"/>
                <w:szCs w:val="28"/>
              </w:rPr>
              <w:t>综</w:t>
            </w:r>
            <w:r>
              <w:rPr>
                <w:rFonts w:hint="eastAsia" w:ascii="宋体" w:hAnsi="宋体" w:eastAsia="宋体" w:cs="宋体"/>
                <w:b w:val="0"/>
                <w:spacing w:val="-4"/>
                <w:sz w:val="21"/>
                <w:szCs w:val="28"/>
              </w:rPr>
              <w:t>合实务题</w:t>
            </w:r>
          </w:p>
        </w:tc>
        <w:tc>
          <w:tcPr>
            <w:tcW w:w="3359" w:type="dxa"/>
            <w:vAlign w:val="center"/>
          </w:tcPr>
          <w:p w14:paraId="27005EA1">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30"/>
                <w:sz w:val="21"/>
                <w:szCs w:val="28"/>
              </w:rPr>
              <w:t>共</w:t>
            </w:r>
            <w:r>
              <w:rPr>
                <w:rFonts w:hint="eastAsia" w:ascii="宋体" w:hAnsi="宋体" w:eastAsia="宋体" w:cs="宋体"/>
                <w:b w:val="0"/>
                <w:spacing w:val="-18"/>
                <w:sz w:val="21"/>
                <w:szCs w:val="28"/>
              </w:rPr>
              <w:t xml:space="preserve"> 1 大题，每大题 10 分</w:t>
            </w:r>
          </w:p>
        </w:tc>
        <w:tc>
          <w:tcPr>
            <w:tcW w:w="905" w:type="dxa"/>
            <w:vAlign w:val="center"/>
          </w:tcPr>
          <w:p w14:paraId="543B1264">
            <w:pPr>
              <w:spacing w:before="0" w:after="0" w:line="540" w:lineRule="exact"/>
              <w:ind w:left="0" w:right="0" w:firstLine="0"/>
              <w:jc w:val="center"/>
              <w:rPr>
                <w:rFonts w:hint="eastAsia" w:ascii="仿宋" w:hAnsi="仿宋" w:eastAsia="仿宋" w:cs="仿宋"/>
                <w:sz w:val="28"/>
                <w:szCs w:val="28"/>
              </w:rPr>
            </w:pPr>
            <w:r>
              <w:rPr>
                <w:rFonts w:hint="eastAsia" w:ascii="宋体" w:hAnsi="宋体" w:eastAsia="宋体" w:cs="宋体"/>
                <w:b w:val="0"/>
                <w:spacing w:val="-11"/>
                <w:sz w:val="21"/>
                <w:szCs w:val="28"/>
              </w:rPr>
              <w:t>1</w:t>
            </w:r>
            <w:r>
              <w:rPr>
                <w:rFonts w:hint="eastAsia" w:ascii="宋体" w:hAnsi="宋体" w:eastAsia="宋体" w:cs="宋体"/>
                <w:b w:val="0"/>
                <w:spacing w:val="-10"/>
                <w:sz w:val="21"/>
                <w:szCs w:val="28"/>
              </w:rPr>
              <w:t>0</w:t>
            </w:r>
          </w:p>
        </w:tc>
      </w:tr>
    </w:tbl>
    <w:p w14:paraId="42A2032A">
      <w:pPr>
        <w:widowControl/>
        <w:spacing w:before="0" w:after="0" w:line="540" w:lineRule="exact"/>
        <w:rPr>
          <w:rFonts w:hint="eastAsia" w:ascii="仿宋" w:hAnsi="仿宋" w:eastAsia="仿宋" w:cs="仿宋"/>
          <w:b/>
          <w:bCs/>
          <w:color w:val="000000"/>
          <w:kern w:val="0"/>
          <w:sz w:val="28"/>
          <w:szCs w:val="28"/>
          <w:lang w:bidi="ar"/>
        </w:rPr>
      </w:pPr>
    </w:p>
    <w:p w14:paraId="77733478">
      <w:pPr>
        <w:widowControl/>
        <w:spacing w:before="0" w:after="0" w:line="540" w:lineRule="exact"/>
        <w:rPr>
          <w:rFonts w:hint="eastAsia" w:ascii="仿宋" w:hAnsi="仿宋" w:eastAsia="仿宋" w:cs="仿宋"/>
          <w:b/>
          <w:bCs/>
          <w:color w:val="000000"/>
          <w:kern w:val="0"/>
          <w:sz w:val="28"/>
          <w:szCs w:val="28"/>
          <w:lang w:bidi="ar"/>
        </w:rPr>
      </w:pPr>
    </w:p>
    <w:p w14:paraId="564DCFA3">
      <w:pPr>
        <w:widowControl/>
        <w:spacing w:before="0" w:after="0" w:line="540" w:lineRule="exact"/>
        <w:rPr>
          <w:rFonts w:hint="eastAsia" w:ascii="仿宋" w:hAnsi="仿宋" w:eastAsia="仿宋" w:cs="仿宋"/>
          <w:b/>
          <w:bCs/>
          <w:color w:val="000000"/>
          <w:kern w:val="0"/>
          <w:sz w:val="28"/>
          <w:szCs w:val="28"/>
          <w:lang w:bidi="ar"/>
        </w:rPr>
      </w:pPr>
    </w:p>
    <w:p w14:paraId="1F670065">
      <w:pPr>
        <w:widowControl/>
        <w:spacing w:before="0" w:after="0" w:line="540" w:lineRule="exact"/>
        <w:rPr>
          <w:rFonts w:hint="eastAsia" w:ascii="仿宋" w:hAnsi="仿宋" w:eastAsia="仿宋" w:cs="仿宋"/>
          <w:b/>
          <w:bCs/>
          <w:color w:val="000000"/>
          <w:kern w:val="0"/>
          <w:sz w:val="28"/>
          <w:szCs w:val="28"/>
          <w:lang w:bidi="ar"/>
        </w:rPr>
      </w:pPr>
    </w:p>
    <w:p w14:paraId="5C60379A">
      <w:pPr>
        <w:widowControl/>
        <w:spacing w:before="0" w:after="0" w:line="540" w:lineRule="exact"/>
        <w:ind w:left="0" w:right="0" w:firstLine="560" w:firstLineChars="200"/>
        <w:jc w:val="center"/>
        <w:rPr>
          <w:rFonts w:hint="eastAsia" w:ascii="仿宋" w:hAnsi="仿宋" w:eastAsia="仿宋" w:cs="仿宋"/>
          <w:b/>
          <w:bCs/>
          <w:color w:val="000000"/>
          <w:kern w:val="0"/>
          <w:sz w:val="28"/>
          <w:szCs w:val="28"/>
          <w:lang w:bidi="ar"/>
        </w:rPr>
      </w:pPr>
      <w:r>
        <w:rPr>
          <w:rFonts w:hint="eastAsia" w:ascii="黑体" w:hAnsi="黑体" w:eastAsia="黑体" w:cs="黑体"/>
          <w:b w:val="0"/>
          <w:bCs w:val="0"/>
          <w:color w:val="000000"/>
          <w:kern w:val="0"/>
          <w:sz w:val="28"/>
          <w:szCs w:val="28"/>
          <w:lang w:bidi="ar"/>
        </w:rPr>
        <w:t>表2 智慧物流系统规划方案与仿真评分细则</w:t>
      </w:r>
    </w:p>
    <w:tbl>
      <w:tblPr>
        <w:tblStyle w:val="24"/>
        <w:tblW w:w="884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9"/>
        <w:gridCol w:w="1602"/>
        <w:gridCol w:w="4255"/>
        <w:gridCol w:w="811"/>
        <w:gridCol w:w="815"/>
      </w:tblGrid>
      <w:tr w14:paraId="31797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blHeader/>
          <w:jc w:val="center"/>
        </w:trPr>
        <w:tc>
          <w:tcPr>
            <w:tcW w:w="859" w:type="dxa"/>
            <w:vAlign w:val="center"/>
          </w:tcPr>
          <w:p w14:paraId="7241E483">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1"/>
                <w:kern w:val="0"/>
                <w:sz w:val="24"/>
                <w:szCs w:val="23"/>
                <w:lang w:eastAsia="en-US"/>
              </w:rPr>
              <w:t>序号</w:t>
            </w:r>
          </w:p>
        </w:tc>
        <w:tc>
          <w:tcPr>
            <w:tcW w:w="1602" w:type="dxa"/>
            <w:vAlign w:val="center"/>
          </w:tcPr>
          <w:p w14:paraId="64E86010">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4"/>
                <w:kern w:val="0"/>
                <w:sz w:val="24"/>
                <w:szCs w:val="23"/>
                <w:lang w:eastAsia="en-US"/>
              </w:rPr>
              <w:t>评价指标</w:t>
            </w:r>
          </w:p>
        </w:tc>
        <w:tc>
          <w:tcPr>
            <w:tcW w:w="4255" w:type="dxa"/>
            <w:vAlign w:val="center"/>
          </w:tcPr>
          <w:p w14:paraId="41BA23FF">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4"/>
                <w:kern w:val="0"/>
                <w:sz w:val="24"/>
                <w:szCs w:val="23"/>
                <w:lang w:eastAsia="en-US"/>
              </w:rPr>
              <w:t>评分细则</w:t>
            </w:r>
          </w:p>
        </w:tc>
        <w:tc>
          <w:tcPr>
            <w:tcW w:w="811" w:type="dxa"/>
            <w:vAlign w:val="center"/>
          </w:tcPr>
          <w:p w14:paraId="1D03D3D7">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2"/>
                <w:kern w:val="0"/>
                <w:sz w:val="24"/>
                <w:szCs w:val="23"/>
                <w:lang w:eastAsia="en-US"/>
              </w:rPr>
              <w:t>分值</w:t>
            </w:r>
          </w:p>
        </w:tc>
        <w:tc>
          <w:tcPr>
            <w:tcW w:w="815" w:type="dxa"/>
            <w:vAlign w:val="center"/>
          </w:tcPr>
          <w:p w14:paraId="36E2AFA7">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1"/>
                <w:kern w:val="0"/>
                <w:sz w:val="24"/>
                <w:szCs w:val="23"/>
                <w:lang w:eastAsia="en-US"/>
              </w:rPr>
              <w:t>小计</w:t>
            </w:r>
          </w:p>
        </w:tc>
      </w:tr>
      <w:tr w14:paraId="279EA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859" w:type="dxa"/>
            <w:vMerge w:val="restart"/>
            <w:tcBorders>
              <w:bottom w:val="nil"/>
            </w:tcBorders>
            <w:vAlign w:val="center"/>
          </w:tcPr>
          <w:p w14:paraId="1CD52271">
            <w:pPr>
              <w:pStyle w:val="27"/>
              <w:spacing w:before="0" w:after="0" w:line="540" w:lineRule="exact"/>
              <w:ind w:left="0" w:right="0" w:firstLine="0"/>
              <w:jc w:val="center"/>
            </w:pPr>
          </w:p>
          <w:p w14:paraId="37970F2F">
            <w:pPr>
              <w:pStyle w:val="27"/>
              <w:spacing w:before="0" w:after="0" w:line="540" w:lineRule="exact"/>
              <w:ind w:left="0" w:right="0" w:firstLine="0"/>
              <w:jc w:val="center"/>
            </w:pPr>
          </w:p>
          <w:p w14:paraId="392E5883">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position w:val="1"/>
                <w:sz w:val="21"/>
                <w:lang w:eastAsia="en-US"/>
              </w:rPr>
              <w:t>1</w:t>
            </w:r>
          </w:p>
        </w:tc>
        <w:tc>
          <w:tcPr>
            <w:tcW w:w="1602" w:type="dxa"/>
            <w:vMerge w:val="restart"/>
            <w:tcBorders>
              <w:bottom w:val="nil"/>
            </w:tcBorders>
            <w:vAlign w:val="center"/>
          </w:tcPr>
          <w:p w14:paraId="42067CA5">
            <w:pPr>
              <w:pStyle w:val="27"/>
              <w:spacing w:before="0" w:after="0" w:line="540" w:lineRule="exact"/>
              <w:ind w:left="0" w:right="0" w:firstLine="0"/>
              <w:jc w:val="center"/>
            </w:pPr>
          </w:p>
          <w:p w14:paraId="0DE8A4BB">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智能生产场景规划分析</w:t>
            </w:r>
          </w:p>
        </w:tc>
        <w:tc>
          <w:tcPr>
            <w:tcW w:w="4255" w:type="dxa"/>
            <w:vAlign w:val="center"/>
          </w:tcPr>
          <w:p w14:paraId="310444CB">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原材料供应分析</w:t>
            </w:r>
          </w:p>
        </w:tc>
        <w:tc>
          <w:tcPr>
            <w:tcW w:w="811" w:type="dxa"/>
            <w:vAlign w:val="center"/>
          </w:tcPr>
          <w:p w14:paraId="0BCFF5B1">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rPr>
            </w:pPr>
            <w:r>
              <w:rPr>
                <w:rFonts w:hint="eastAsia" w:ascii="宋体" w:hAnsi="宋体" w:eastAsia="宋体" w:cs="宋体"/>
                <w:b w:val="0"/>
                <w:snapToGrid w:val="0"/>
                <w:color w:val="000000"/>
                <w:kern w:val="0"/>
                <w:sz w:val="21"/>
              </w:rPr>
              <w:t>5</w:t>
            </w:r>
          </w:p>
        </w:tc>
        <w:tc>
          <w:tcPr>
            <w:tcW w:w="815" w:type="dxa"/>
            <w:vMerge w:val="restart"/>
            <w:tcBorders>
              <w:bottom w:val="nil"/>
            </w:tcBorders>
            <w:vAlign w:val="center"/>
          </w:tcPr>
          <w:p w14:paraId="441147E4">
            <w:pPr>
              <w:pStyle w:val="27"/>
              <w:spacing w:before="0" w:after="0" w:line="540" w:lineRule="exact"/>
              <w:ind w:left="0" w:right="0" w:firstLine="0"/>
              <w:jc w:val="center"/>
            </w:pPr>
          </w:p>
          <w:p w14:paraId="65FFBF55">
            <w:pPr>
              <w:pStyle w:val="27"/>
              <w:spacing w:before="0" w:after="0" w:line="540" w:lineRule="exact"/>
              <w:ind w:left="0" w:right="0" w:firstLine="0"/>
              <w:jc w:val="center"/>
            </w:pPr>
          </w:p>
          <w:p w14:paraId="1F5C00FD">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2"/>
                <w:kern w:val="0"/>
                <w:position w:val="1"/>
                <w:sz w:val="21"/>
                <w:lang w:eastAsia="en-US"/>
              </w:rPr>
              <w:t>44</w:t>
            </w:r>
          </w:p>
        </w:tc>
      </w:tr>
      <w:tr w14:paraId="15353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59" w:type="dxa"/>
            <w:vMerge w:val="continue"/>
            <w:tcBorders>
              <w:top w:val="nil"/>
              <w:bottom w:val="nil"/>
            </w:tcBorders>
          </w:tcPr>
          <w:p w14:paraId="0D5E95BE">
            <w:pPr>
              <w:pStyle w:val="27"/>
            </w:pPr>
          </w:p>
        </w:tc>
        <w:tc>
          <w:tcPr>
            <w:tcW w:w="1602" w:type="dxa"/>
            <w:vMerge w:val="continue"/>
            <w:tcBorders>
              <w:top w:val="nil"/>
              <w:bottom w:val="nil"/>
            </w:tcBorders>
          </w:tcPr>
          <w:p w14:paraId="00A33FDE">
            <w:pPr>
              <w:pStyle w:val="27"/>
            </w:pPr>
          </w:p>
        </w:tc>
        <w:tc>
          <w:tcPr>
            <w:tcW w:w="4255" w:type="dxa"/>
            <w:vAlign w:val="center"/>
          </w:tcPr>
          <w:p w14:paraId="11D5D0B6">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原材料需求分析</w:t>
            </w:r>
          </w:p>
        </w:tc>
        <w:tc>
          <w:tcPr>
            <w:tcW w:w="811" w:type="dxa"/>
            <w:vAlign w:val="center"/>
          </w:tcPr>
          <w:p w14:paraId="52B49E46">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6"/>
                <w:kern w:val="0"/>
                <w:position w:val="1"/>
                <w:sz w:val="21"/>
                <w:lang w:eastAsia="en-US"/>
              </w:rPr>
              <w:t>24</w:t>
            </w:r>
          </w:p>
        </w:tc>
        <w:tc>
          <w:tcPr>
            <w:tcW w:w="815" w:type="dxa"/>
            <w:vMerge w:val="continue"/>
            <w:tcBorders>
              <w:top w:val="nil"/>
              <w:bottom w:val="nil"/>
            </w:tcBorders>
          </w:tcPr>
          <w:p w14:paraId="7628C5B2">
            <w:pPr>
              <w:pStyle w:val="27"/>
            </w:pPr>
          </w:p>
        </w:tc>
      </w:tr>
      <w:tr w14:paraId="4C091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59" w:type="dxa"/>
            <w:vMerge w:val="continue"/>
            <w:tcBorders>
              <w:top w:val="nil"/>
              <w:bottom w:val="nil"/>
            </w:tcBorders>
          </w:tcPr>
          <w:p w14:paraId="34F831D1">
            <w:pPr>
              <w:pStyle w:val="27"/>
            </w:pPr>
          </w:p>
        </w:tc>
        <w:tc>
          <w:tcPr>
            <w:tcW w:w="1602" w:type="dxa"/>
            <w:vMerge w:val="continue"/>
            <w:tcBorders>
              <w:top w:val="nil"/>
              <w:bottom w:val="nil"/>
            </w:tcBorders>
          </w:tcPr>
          <w:p w14:paraId="309BDFD1">
            <w:pPr>
              <w:pStyle w:val="27"/>
            </w:pPr>
          </w:p>
        </w:tc>
        <w:tc>
          <w:tcPr>
            <w:tcW w:w="4255" w:type="dxa"/>
            <w:vAlign w:val="center"/>
          </w:tcPr>
          <w:p w14:paraId="66E613F0">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原材料存储情况分析</w:t>
            </w:r>
          </w:p>
        </w:tc>
        <w:tc>
          <w:tcPr>
            <w:tcW w:w="811" w:type="dxa"/>
            <w:vAlign w:val="center"/>
          </w:tcPr>
          <w:p w14:paraId="2397D52D">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position w:val="1"/>
                <w:sz w:val="21"/>
                <w:lang w:eastAsia="en-US"/>
              </w:rPr>
              <w:t>4</w:t>
            </w:r>
          </w:p>
        </w:tc>
        <w:tc>
          <w:tcPr>
            <w:tcW w:w="815" w:type="dxa"/>
            <w:vMerge w:val="continue"/>
            <w:tcBorders>
              <w:top w:val="nil"/>
              <w:bottom w:val="nil"/>
            </w:tcBorders>
          </w:tcPr>
          <w:p w14:paraId="12D9E3E9">
            <w:pPr>
              <w:pStyle w:val="27"/>
            </w:pPr>
          </w:p>
        </w:tc>
      </w:tr>
      <w:tr w14:paraId="1A9A0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859" w:type="dxa"/>
            <w:vMerge w:val="continue"/>
            <w:tcBorders>
              <w:top w:val="nil"/>
            </w:tcBorders>
          </w:tcPr>
          <w:p w14:paraId="14A42A9E">
            <w:pPr>
              <w:pStyle w:val="27"/>
            </w:pPr>
          </w:p>
        </w:tc>
        <w:tc>
          <w:tcPr>
            <w:tcW w:w="1602" w:type="dxa"/>
            <w:vMerge w:val="continue"/>
            <w:tcBorders>
              <w:top w:val="nil"/>
            </w:tcBorders>
          </w:tcPr>
          <w:p w14:paraId="79039FF3">
            <w:pPr>
              <w:pStyle w:val="27"/>
            </w:pPr>
          </w:p>
        </w:tc>
        <w:tc>
          <w:tcPr>
            <w:tcW w:w="4255" w:type="dxa"/>
            <w:vAlign w:val="center"/>
          </w:tcPr>
          <w:p w14:paraId="1B1C2218">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2"/>
                <w:kern w:val="0"/>
                <w:sz w:val="21"/>
                <w:lang w:eastAsia="en-US"/>
              </w:rPr>
              <w:t>智能设施设备需求分析</w:t>
            </w:r>
          </w:p>
        </w:tc>
        <w:tc>
          <w:tcPr>
            <w:tcW w:w="811" w:type="dxa"/>
            <w:vAlign w:val="center"/>
          </w:tcPr>
          <w:p w14:paraId="2154AD17">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position w:val="1"/>
                <w:sz w:val="21"/>
                <w:lang w:eastAsia="en-US"/>
              </w:rPr>
              <w:t>11</w:t>
            </w:r>
          </w:p>
        </w:tc>
        <w:tc>
          <w:tcPr>
            <w:tcW w:w="815" w:type="dxa"/>
            <w:vMerge w:val="continue"/>
            <w:tcBorders>
              <w:top w:val="nil"/>
            </w:tcBorders>
          </w:tcPr>
          <w:p w14:paraId="488111F0">
            <w:pPr>
              <w:pStyle w:val="27"/>
            </w:pPr>
          </w:p>
        </w:tc>
      </w:tr>
      <w:tr w14:paraId="67460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59" w:type="dxa"/>
            <w:vMerge w:val="restart"/>
            <w:vAlign w:val="center"/>
          </w:tcPr>
          <w:p w14:paraId="214E5D3C">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position w:val="1"/>
                <w:sz w:val="21"/>
                <w:lang w:eastAsia="en-US"/>
              </w:rPr>
              <w:t>2</w:t>
            </w:r>
          </w:p>
        </w:tc>
        <w:tc>
          <w:tcPr>
            <w:tcW w:w="1602" w:type="dxa"/>
            <w:vMerge w:val="restart"/>
            <w:vAlign w:val="center"/>
          </w:tcPr>
          <w:p w14:paraId="565B8177">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智慧物流功能</w:t>
            </w:r>
            <w:r>
              <w:rPr>
                <w:rFonts w:ascii="宋体" w:hAnsi="宋体" w:eastAsia="宋体" w:cs="宋体"/>
                <w:b w:val="0"/>
                <w:snapToGrid w:val="0"/>
                <w:color w:val="000000"/>
                <w:spacing w:val="-7"/>
                <w:kern w:val="0"/>
                <w:sz w:val="21"/>
                <w:lang w:eastAsia="en-US"/>
              </w:rPr>
              <w:t>区域布局设计</w:t>
            </w:r>
          </w:p>
        </w:tc>
        <w:tc>
          <w:tcPr>
            <w:tcW w:w="4255" w:type="dxa"/>
            <w:vAlign w:val="center"/>
          </w:tcPr>
          <w:p w14:paraId="0F8294B1">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6"/>
                <w:kern w:val="0"/>
                <w:sz w:val="21"/>
                <w:lang w:eastAsia="en-US"/>
              </w:rPr>
              <w:t>货架布局</w:t>
            </w:r>
          </w:p>
        </w:tc>
        <w:tc>
          <w:tcPr>
            <w:tcW w:w="811" w:type="dxa"/>
            <w:vAlign w:val="center"/>
          </w:tcPr>
          <w:p w14:paraId="1F8EF157">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sz w:val="21"/>
                <w:lang w:eastAsia="en-US"/>
              </w:rPr>
              <w:t>3</w:t>
            </w:r>
          </w:p>
        </w:tc>
        <w:tc>
          <w:tcPr>
            <w:tcW w:w="815" w:type="dxa"/>
            <w:vMerge w:val="restart"/>
            <w:vAlign w:val="center"/>
          </w:tcPr>
          <w:p w14:paraId="49CD626F">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14"/>
                <w:kern w:val="0"/>
                <w:sz w:val="21"/>
                <w:lang w:eastAsia="en-US"/>
              </w:rPr>
              <w:t>10</w:t>
            </w:r>
          </w:p>
        </w:tc>
      </w:tr>
      <w:tr w14:paraId="740A4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59" w:type="dxa"/>
            <w:vMerge w:val="continue"/>
          </w:tcPr>
          <w:p w14:paraId="05C4A6D5">
            <w:pPr>
              <w:pStyle w:val="27"/>
            </w:pPr>
          </w:p>
        </w:tc>
        <w:tc>
          <w:tcPr>
            <w:tcW w:w="1602" w:type="dxa"/>
            <w:vMerge w:val="continue"/>
          </w:tcPr>
          <w:p w14:paraId="6440E7E8">
            <w:pPr>
              <w:pStyle w:val="27"/>
            </w:pPr>
          </w:p>
        </w:tc>
        <w:tc>
          <w:tcPr>
            <w:tcW w:w="4255" w:type="dxa"/>
            <w:vAlign w:val="center"/>
          </w:tcPr>
          <w:p w14:paraId="290DA7C5">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4"/>
                <w:kern w:val="0"/>
                <w:sz w:val="21"/>
                <w:lang w:eastAsia="en-US"/>
              </w:rPr>
              <w:t>动线设计</w:t>
            </w:r>
          </w:p>
        </w:tc>
        <w:tc>
          <w:tcPr>
            <w:tcW w:w="811" w:type="dxa"/>
            <w:vAlign w:val="center"/>
          </w:tcPr>
          <w:p w14:paraId="0BE9E70B">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position w:val="1"/>
                <w:sz w:val="21"/>
                <w:lang w:eastAsia="en-US"/>
              </w:rPr>
              <w:t>4</w:t>
            </w:r>
          </w:p>
        </w:tc>
        <w:tc>
          <w:tcPr>
            <w:tcW w:w="815" w:type="dxa"/>
            <w:vMerge w:val="continue"/>
          </w:tcPr>
          <w:p w14:paraId="2751467F">
            <w:pPr>
              <w:pStyle w:val="27"/>
            </w:pPr>
          </w:p>
        </w:tc>
      </w:tr>
      <w:tr w14:paraId="2FE35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jc w:val="center"/>
        </w:trPr>
        <w:tc>
          <w:tcPr>
            <w:tcW w:w="859" w:type="dxa"/>
            <w:vMerge w:val="continue"/>
          </w:tcPr>
          <w:p w14:paraId="48E4CFED">
            <w:pPr>
              <w:pStyle w:val="27"/>
            </w:pPr>
          </w:p>
        </w:tc>
        <w:tc>
          <w:tcPr>
            <w:tcW w:w="1602" w:type="dxa"/>
            <w:vMerge w:val="continue"/>
          </w:tcPr>
          <w:p w14:paraId="0D098F71">
            <w:pPr>
              <w:pStyle w:val="27"/>
            </w:pPr>
          </w:p>
        </w:tc>
        <w:tc>
          <w:tcPr>
            <w:tcW w:w="4255" w:type="dxa"/>
            <w:vAlign w:val="center"/>
          </w:tcPr>
          <w:p w14:paraId="42D09B72">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8"/>
                <w:kern w:val="0"/>
                <w:sz w:val="21"/>
                <w:lang w:eastAsia="en-US"/>
              </w:rPr>
              <w:t>点位布局</w:t>
            </w:r>
          </w:p>
        </w:tc>
        <w:tc>
          <w:tcPr>
            <w:tcW w:w="811" w:type="dxa"/>
            <w:vAlign w:val="center"/>
          </w:tcPr>
          <w:p w14:paraId="57E8437F">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sz w:val="21"/>
                <w:lang w:eastAsia="en-US"/>
              </w:rPr>
              <w:t>3</w:t>
            </w:r>
          </w:p>
        </w:tc>
        <w:tc>
          <w:tcPr>
            <w:tcW w:w="815" w:type="dxa"/>
            <w:vMerge w:val="continue"/>
          </w:tcPr>
          <w:p w14:paraId="04724C3C">
            <w:pPr>
              <w:pStyle w:val="27"/>
            </w:pPr>
          </w:p>
        </w:tc>
      </w:tr>
      <w:tr w14:paraId="58A09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jc w:val="center"/>
        </w:trPr>
        <w:tc>
          <w:tcPr>
            <w:tcW w:w="859" w:type="dxa"/>
            <w:vMerge w:val="restart"/>
            <w:tcBorders>
              <w:bottom w:val="nil"/>
            </w:tcBorders>
            <w:vAlign w:val="center"/>
          </w:tcPr>
          <w:p w14:paraId="40CA2910">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sz w:val="21"/>
                <w:lang w:eastAsia="en-US"/>
              </w:rPr>
              <w:t>3</w:t>
            </w:r>
          </w:p>
        </w:tc>
        <w:tc>
          <w:tcPr>
            <w:tcW w:w="1602" w:type="dxa"/>
            <w:vMerge w:val="restart"/>
            <w:tcBorders>
              <w:bottom w:val="nil"/>
            </w:tcBorders>
            <w:vAlign w:val="center"/>
          </w:tcPr>
          <w:p w14:paraId="26962C99">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智慧物流作业</w:t>
            </w:r>
            <w:r>
              <w:rPr>
                <w:rFonts w:ascii="宋体" w:hAnsi="宋体" w:eastAsia="宋体" w:cs="宋体"/>
                <w:b w:val="0"/>
                <w:snapToGrid w:val="0"/>
                <w:color w:val="000000"/>
                <w:spacing w:val="-4"/>
                <w:kern w:val="0"/>
                <w:sz w:val="21"/>
                <w:lang w:eastAsia="en-US"/>
              </w:rPr>
              <w:t>环节设计</w:t>
            </w:r>
          </w:p>
        </w:tc>
        <w:tc>
          <w:tcPr>
            <w:tcW w:w="4255" w:type="dxa"/>
            <w:vAlign w:val="center"/>
          </w:tcPr>
          <w:p w14:paraId="6A399EA1">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生产物流作业环节分析</w:t>
            </w:r>
          </w:p>
        </w:tc>
        <w:tc>
          <w:tcPr>
            <w:tcW w:w="811" w:type="dxa"/>
            <w:vAlign w:val="center"/>
          </w:tcPr>
          <w:p w14:paraId="3F877768">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rPr>
            </w:pPr>
            <w:r>
              <w:rPr>
                <w:rFonts w:hint="eastAsia" w:ascii="宋体" w:hAnsi="宋体" w:eastAsia="宋体" w:cs="宋体"/>
                <w:b w:val="0"/>
                <w:snapToGrid w:val="0"/>
                <w:color w:val="000000"/>
                <w:kern w:val="0"/>
                <w:sz w:val="21"/>
              </w:rPr>
              <w:t>5</w:t>
            </w:r>
          </w:p>
        </w:tc>
        <w:tc>
          <w:tcPr>
            <w:tcW w:w="815" w:type="dxa"/>
            <w:vMerge w:val="restart"/>
            <w:tcBorders>
              <w:bottom w:val="nil"/>
            </w:tcBorders>
            <w:vAlign w:val="center"/>
          </w:tcPr>
          <w:p w14:paraId="4AFCA05B">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position w:val="1"/>
                <w:sz w:val="21"/>
                <w:lang w:eastAsia="en-US"/>
              </w:rPr>
              <w:t>11</w:t>
            </w:r>
          </w:p>
        </w:tc>
      </w:tr>
      <w:tr w14:paraId="146DB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859" w:type="dxa"/>
            <w:vMerge w:val="continue"/>
            <w:tcBorders>
              <w:top w:val="nil"/>
            </w:tcBorders>
          </w:tcPr>
          <w:p w14:paraId="24203BB2">
            <w:pPr>
              <w:pStyle w:val="27"/>
            </w:pPr>
          </w:p>
        </w:tc>
        <w:tc>
          <w:tcPr>
            <w:tcW w:w="1602" w:type="dxa"/>
            <w:vMerge w:val="continue"/>
            <w:tcBorders>
              <w:top w:val="nil"/>
            </w:tcBorders>
          </w:tcPr>
          <w:p w14:paraId="039EDCEE">
            <w:pPr>
              <w:pStyle w:val="27"/>
            </w:pPr>
          </w:p>
        </w:tc>
        <w:tc>
          <w:tcPr>
            <w:tcW w:w="4255" w:type="dxa"/>
            <w:vAlign w:val="center"/>
          </w:tcPr>
          <w:p w14:paraId="008E51F5">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运输路线设计</w:t>
            </w:r>
          </w:p>
        </w:tc>
        <w:tc>
          <w:tcPr>
            <w:tcW w:w="811" w:type="dxa"/>
            <w:vAlign w:val="center"/>
          </w:tcPr>
          <w:p w14:paraId="6EEAE005">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sz w:val="21"/>
                <w:lang w:eastAsia="en-US"/>
              </w:rPr>
              <w:t>6</w:t>
            </w:r>
          </w:p>
        </w:tc>
        <w:tc>
          <w:tcPr>
            <w:tcW w:w="815" w:type="dxa"/>
            <w:vMerge w:val="continue"/>
            <w:tcBorders>
              <w:top w:val="nil"/>
            </w:tcBorders>
          </w:tcPr>
          <w:p w14:paraId="43A10C9D">
            <w:pPr>
              <w:pStyle w:val="27"/>
            </w:pPr>
          </w:p>
        </w:tc>
      </w:tr>
      <w:tr w14:paraId="53BE4B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jc w:val="center"/>
        </w:trPr>
        <w:tc>
          <w:tcPr>
            <w:tcW w:w="859" w:type="dxa"/>
            <w:vMerge w:val="restart"/>
            <w:tcBorders>
              <w:bottom w:val="nil"/>
            </w:tcBorders>
            <w:vAlign w:val="center"/>
          </w:tcPr>
          <w:p w14:paraId="5132EC33">
            <w:pPr>
              <w:pStyle w:val="27"/>
              <w:spacing w:before="0" w:after="0" w:line="540" w:lineRule="exact"/>
              <w:ind w:left="0" w:right="0" w:firstLine="0"/>
              <w:jc w:val="center"/>
            </w:pPr>
          </w:p>
          <w:p w14:paraId="299C5258">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position w:val="1"/>
                <w:sz w:val="21"/>
                <w:lang w:eastAsia="en-US"/>
              </w:rPr>
              <w:t>4</w:t>
            </w:r>
          </w:p>
        </w:tc>
        <w:tc>
          <w:tcPr>
            <w:tcW w:w="1602" w:type="dxa"/>
            <w:vMerge w:val="restart"/>
            <w:tcBorders>
              <w:bottom w:val="nil"/>
            </w:tcBorders>
            <w:vAlign w:val="center"/>
          </w:tcPr>
          <w:p w14:paraId="6D0FD06F">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智慧物流系统</w:t>
            </w:r>
          </w:p>
          <w:p w14:paraId="12BC23B2">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仿真与优化分</w:t>
            </w:r>
          </w:p>
          <w:p w14:paraId="56B21065">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sz w:val="21"/>
                <w:lang w:eastAsia="en-US"/>
              </w:rPr>
              <w:t>析</w:t>
            </w:r>
          </w:p>
        </w:tc>
        <w:tc>
          <w:tcPr>
            <w:tcW w:w="4255" w:type="dxa"/>
            <w:vAlign w:val="center"/>
          </w:tcPr>
          <w:p w14:paraId="082BDD65">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2"/>
                <w:kern w:val="0"/>
                <w:sz w:val="21"/>
                <w:lang w:eastAsia="en-US"/>
              </w:rPr>
              <w:t>智慧物流系统仿真</w:t>
            </w:r>
          </w:p>
        </w:tc>
        <w:tc>
          <w:tcPr>
            <w:tcW w:w="811" w:type="dxa"/>
            <w:vAlign w:val="center"/>
          </w:tcPr>
          <w:p w14:paraId="15D911FC">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rPr>
            </w:pPr>
            <w:r>
              <w:rPr>
                <w:rFonts w:hint="eastAsia" w:ascii="宋体" w:hAnsi="宋体" w:eastAsia="宋体" w:cs="宋体"/>
                <w:b w:val="0"/>
                <w:snapToGrid w:val="0"/>
                <w:color w:val="000000"/>
                <w:spacing w:val="-3"/>
                <w:kern w:val="0"/>
                <w:sz w:val="21"/>
              </w:rPr>
              <w:t>25</w:t>
            </w:r>
          </w:p>
        </w:tc>
        <w:tc>
          <w:tcPr>
            <w:tcW w:w="815" w:type="dxa"/>
            <w:vMerge w:val="restart"/>
            <w:tcBorders>
              <w:bottom w:val="nil"/>
            </w:tcBorders>
            <w:vAlign w:val="center"/>
          </w:tcPr>
          <w:p w14:paraId="43939D0E">
            <w:pPr>
              <w:pStyle w:val="27"/>
              <w:spacing w:before="0" w:after="0" w:line="540" w:lineRule="exact"/>
              <w:ind w:left="0" w:right="0" w:firstLine="0"/>
              <w:jc w:val="center"/>
            </w:pPr>
          </w:p>
          <w:p w14:paraId="10FCF7E2">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4"/>
                <w:kern w:val="0"/>
                <w:sz w:val="21"/>
                <w:lang w:eastAsia="en-US"/>
              </w:rPr>
              <w:t>30</w:t>
            </w:r>
          </w:p>
        </w:tc>
      </w:tr>
      <w:tr w14:paraId="66A08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jc w:val="center"/>
        </w:trPr>
        <w:tc>
          <w:tcPr>
            <w:tcW w:w="859" w:type="dxa"/>
            <w:vMerge w:val="continue"/>
            <w:tcBorders>
              <w:top w:val="nil"/>
            </w:tcBorders>
          </w:tcPr>
          <w:p w14:paraId="466CFCDC">
            <w:pPr>
              <w:pStyle w:val="27"/>
            </w:pPr>
          </w:p>
        </w:tc>
        <w:tc>
          <w:tcPr>
            <w:tcW w:w="1602" w:type="dxa"/>
            <w:vMerge w:val="continue"/>
            <w:tcBorders>
              <w:top w:val="nil"/>
            </w:tcBorders>
          </w:tcPr>
          <w:p w14:paraId="5E2D6447">
            <w:pPr>
              <w:pStyle w:val="27"/>
            </w:pPr>
          </w:p>
        </w:tc>
        <w:tc>
          <w:tcPr>
            <w:tcW w:w="4255" w:type="dxa"/>
            <w:vAlign w:val="center"/>
          </w:tcPr>
          <w:p w14:paraId="0E6CE844">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2"/>
                <w:kern w:val="0"/>
                <w:sz w:val="21"/>
                <w:lang w:eastAsia="en-US"/>
              </w:rPr>
              <w:t>智慧物流系统仿真报告及优化分析</w:t>
            </w:r>
          </w:p>
        </w:tc>
        <w:tc>
          <w:tcPr>
            <w:tcW w:w="811" w:type="dxa"/>
            <w:vAlign w:val="center"/>
          </w:tcPr>
          <w:p w14:paraId="03171E79">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rPr>
            </w:pPr>
            <w:r>
              <w:rPr>
                <w:rFonts w:hint="eastAsia" w:ascii="宋体" w:hAnsi="宋体" w:eastAsia="宋体" w:cs="宋体"/>
                <w:b w:val="0"/>
                <w:snapToGrid w:val="0"/>
                <w:color w:val="000000"/>
                <w:kern w:val="0"/>
                <w:sz w:val="21"/>
              </w:rPr>
              <w:t>5</w:t>
            </w:r>
          </w:p>
        </w:tc>
        <w:tc>
          <w:tcPr>
            <w:tcW w:w="815" w:type="dxa"/>
            <w:vMerge w:val="continue"/>
            <w:tcBorders>
              <w:top w:val="nil"/>
            </w:tcBorders>
          </w:tcPr>
          <w:p w14:paraId="28F8AA0D">
            <w:pPr>
              <w:pStyle w:val="27"/>
            </w:pPr>
          </w:p>
        </w:tc>
      </w:tr>
      <w:tr w14:paraId="431F3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jc w:val="center"/>
        </w:trPr>
        <w:tc>
          <w:tcPr>
            <w:tcW w:w="859" w:type="dxa"/>
            <w:vAlign w:val="center"/>
          </w:tcPr>
          <w:p w14:paraId="3681CA65">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rPr>
            </w:pPr>
            <w:r>
              <w:rPr>
                <w:rFonts w:hint="eastAsia" w:ascii="宋体" w:hAnsi="宋体" w:eastAsia="宋体" w:cs="宋体"/>
                <w:b w:val="0"/>
                <w:snapToGrid w:val="0"/>
                <w:color w:val="000000"/>
                <w:kern w:val="0"/>
                <w:sz w:val="21"/>
              </w:rPr>
              <w:t>5</w:t>
            </w:r>
          </w:p>
        </w:tc>
        <w:tc>
          <w:tcPr>
            <w:tcW w:w="1602" w:type="dxa"/>
            <w:vAlign w:val="center"/>
          </w:tcPr>
          <w:p w14:paraId="2C3E6606">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5"/>
                <w:kern w:val="0"/>
                <w:sz w:val="21"/>
                <w:lang w:eastAsia="en-US"/>
              </w:rPr>
              <w:t>方案规范性</w:t>
            </w:r>
          </w:p>
        </w:tc>
        <w:tc>
          <w:tcPr>
            <w:tcW w:w="4255" w:type="dxa"/>
            <w:vAlign w:val="center"/>
          </w:tcPr>
          <w:p w14:paraId="70DCCC25">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规划方案规范性</w:t>
            </w:r>
          </w:p>
        </w:tc>
        <w:tc>
          <w:tcPr>
            <w:tcW w:w="811" w:type="dxa"/>
            <w:vAlign w:val="center"/>
          </w:tcPr>
          <w:p w14:paraId="61908AB8">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rPr>
            </w:pPr>
            <w:r>
              <w:rPr>
                <w:rFonts w:hint="eastAsia" w:ascii="宋体" w:hAnsi="宋体" w:eastAsia="宋体" w:cs="宋体"/>
                <w:b w:val="0"/>
                <w:snapToGrid w:val="0"/>
                <w:color w:val="000000"/>
                <w:kern w:val="0"/>
                <w:sz w:val="21"/>
              </w:rPr>
              <w:t>5</w:t>
            </w:r>
          </w:p>
        </w:tc>
        <w:tc>
          <w:tcPr>
            <w:tcW w:w="815" w:type="dxa"/>
            <w:vAlign w:val="center"/>
          </w:tcPr>
          <w:p w14:paraId="0126A89D">
            <w:pPr>
              <w:widowControl/>
              <w:kinsoku w:val="0"/>
              <w:autoSpaceDE w:val="0"/>
              <w:autoSpaceDN w:val="0"/>
              <w:adjustRightInd w:val="0"/>
              <w:snapToGrid w:val="0"/>
              <w:spacing w:before="0" w:after="0" w:line="540" w:lineRule="exact"/>
              <w:ind w:left="0" w:right="0" w:firstLine="0"/>
              <w:jc w:val="center"/>
              <w:textAlignment w:val="baseline"/>
              <w:rPr>
                <w:rFonts w:hint="eastAsia" w:ascii="仿宋" w:hAnsi="仿宋" w:eastAsia="仿宋" w:cs="仿宋"/>
                <w:snapToGrid w:val="0"/>
                <w:color w:val="000000"/>
                <w:kern w:val="0"/>
                <w:sz w:val="24"/>
              </w:rPr>
            </w:pPr>
            <w:r>
              <w:rPr>
                <w:rFonts w:hint="eastAsia" w:ascii="宋体" w:hAnsi="宋体" w:eastAsia="宋体" w:cs="宋体"/>
                <w:b w:val="0"/>
                <w:snapToGrid w:val="0"/>
                <w:color w:val="000000"/>
                <w:kern w:val="0"/>
                <w:sz w:val="21"/>
              </w:rPr>
              <w:t>5</w:t>
            </w:r>
          </w:p>
        </w:tc>
      </w:tr>
      <w:tr w14:paraId="20B21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jc w:val="center"/>
        </w:trPr>
        <w:tc>
          <w:tcPr>
            <w:tcW w:w="6716" w:type="dxa"/>
            <w:gridSpan w:val="3"/>
            <w:vAlign w:val="center"/>
          </w:tcPr>
          <w:p w14:paraId="1F2DE573">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6"/>
                <w:kern w:val="0"/>
                <w:sz w:val="21"/>
                <w:lang w:eastAsia="en-US"/>
              </w:rPr>
              <w:t>合计</w:t>
            </w:r>
          </w:p>
        </w:tc>
        <w:tc>
          <w:tcPr>
            <w:tcW w:w="1626" w:type="dxa"/>
            <w:gridSpan w:val="2"/>
            <w:vAlign w:val="center"/>
          </w:tcPr>
          <w:p w14:paraId="3EC82EA4">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6"/>
                <w:kern w:val="0"/>
                <w:sz w:val="21"/>
                <w:lang w:eastAsia="en-US"/>
              </w:rPr>
              <w:t>100</w:t>
            </w:r>
          </w:p>
        </w:tc>
      </w:tr>
    </w:tbl>
    <w:p w14:paraId="6B1447EA">
      <w:pPr>
        <w:widowControl/>
        <w:spacing w:before="0" w:after="0" w:line="540" w:lineRule="exact"/>
        <w:rPr>
          <w:rFonts w:hint="eastAsia" w:ascii="仿宋" w:hAnsi="仿宋" w:eastAsia="仿宋" w:cs="仿宋"/>
          <w:b/>
          <w:bCs/>
          <w:color w:val="000000"/>
          <w:kern w:val="0"/>
          <w:sz w:val="28"/>
          <w:szCs w:val="28"/>
          <w:lang w:bidi="ar"/>
        </w:rPr>
      </w:pPr>
    </w:p>
    <w:p w14:paraId="07E63F9E">
      <w:pPr>
        <w:widowControl/>
        <w:spacing w:before="0" w:after="0" w:line="540" w:lineRule="exact"/>
        <w:rPr>
          <w:rFonts w:hint="eastAsia" w:ascii="仿宋" w:hAnsi="仿宋" w:eastAsia="仿宋" w:cs="仿宋"/>
          <w:b/>
          <w:bCs/>
          <w:color w:val="000000"/>
          <w:kern w:val="0"/>
          <w:sz w:val="28"/>
          <w:szCs w:val="28"/>
          <w:lang w:bidi="ar"/>
        </w:rPr>
      </w:pPr>
    </w:p>
    <w:p w14:paraId="0F0AD069">
      <w:pPr>
        <w:widowControl/>
        <w:spacing w:before="0" w:after="0" w:line="540" w:lineRule="exact"/>
        <w:rPr>
          <w:rFonts w:hint="eastAsia" w:ascii="仿宋" w:hAnsi="仿宋" w:eastAsia="仿宋" w:cs="仿宋"/>
          <w:b/>
          <w:bCs/>
          <w:color w:val="000000"/>
          <w:kern w:val="0"/>
          <w:sz w:val="28"/>
          <w:szCs w:val="28"/>
          <w:lang w:bidi="ar"/>
        </w:rPr>
      </w:pPr>
    </w:p>
    <w:p w14:paraId="60C26A2A">
      <w:pPr>
        <w:widowControl/>
        <w:spacing w:before="0" w:after="0" w:line="540" w:lineRule="exact"/>
        <w:rPr>
          <w:rFonts w:hint="eastAsia" w:ascii="仿宋" w:hAnsi="仿宋" w:eastAsia="仿宋" w:cs="仿宋"/>
          <w:b/>
          <w:bCs/>
          <w:color w:val="000000"/>
          <w:kern w:val="0"/>
          <w:sz w:val="28"/>
          <w:szCs w:val="28"/>
          <w:lang w:bidi="ar"/>
        </w:rPr>
      </w:pPr>
    </w:p>
    <w:p w14:paraId="58FA8C86">
      <w:pPr>
        <w:widowControl/>
        <w:spacing w:before="0" w:after="0" w:line="540" w:lineRule="exact"/>
        <w:rPr>
          <w:rFonts w:hint="eastAsia" w:ascii="仿宋" w:hAnsi="仿宋" w:eastAsia="仿宋" w:cs="仿宋"/>
          <w:b/>
          <w:bCs/>
          <w:color w:val="000000"/>
          <w:kern w:val="0"/>
          <w:sz w:val="28"/>
          <w:szCs w:val="28"/>
          <w:lang w:bidi="ar"/>
        </w:rPr>
      </w:pPr>
    </w:p>
    <w:p w14:paraId="2A643539">
      <w:pPr>
        <w:widowControl/>
        <w:spacing w:before="0" w:after="0" w:line="540" w:lineRule="exact"/>
        <w:rPr>
          <w:rFonts w:hint="eastAsia" w:ascii="仿宋" w:hAnsi="仿宋" w:eastAsia="仿宋" w:cs="仿宋"/>
          <w:b/>
          <w:bCs/>
          <w:color w:val="000000"/>
          <w:kern w:val="0"/>
          <w:sz w:val="28"/>
          <w:szCs w:val="28"/>
          <w:lang w:bidi="ar"/>
        </w:rPr>
      </w:pPr>
    </w:p>
    <w:p w14:paraId="03C7757C">
      <w:pPr>
        <w:widowControl/>
        <w:spacing w:before="0" w:after="0" w:line="540" w:lineRule="exact"/>
        <w:rPr>
          <w:rFonts w:hint="eastAsia" w:ascii="仿宋" w:hAnsi="仿宋" w:eastAsia="仿宋" w:cs="仿宋"/>
          <w:b/>
          <w:bCs/>
          <w:color w:val="000000"/>
          <w:kern w:val="0"/>
          <w:sz w:val="28"/>
          <w:szCs w:val="28"/>
          <w:lang w:bidi="ar"/>
        </w:rPr>
      </w:pPr>
    </w:p>
    <w:p w14:paraId="0417CBCE">
      <w:pPr>
        <w:widowControl/>
        <w:spacing w:before="0" w:after="0" w:line="540" w:lineRule="exact"/>
        <w:ind w:left="0" w:right="0" w:firstLine="560" w:firstLineChars="200"/>
        <w:jc w:val="center"/>
        <w:rPr>
          <w:rFonts w:hint="eastAsia" w:ascii="仿宋" w:hAnsi="仿宋" w:eastAsia="仿宋" w:cs="仿宋"/>
          <w:b/>
          <w:bCs/>
          <w:color w:val="000000"/>
          <w:kern w:val="0"/>
          <w:sz w:val="28"/>
          <w:szCs w:val="28"/>
          <w:lang w:bidi="ar"/>
        </w:rPr>
      </w:pPr>
      <w:r>
        <w:rPr>
          <w:rFonts w:hint="eastAsia" w:ascii="黑体" w:hAnsi="黑体" w:eastAsia="黑体" w:cs="黑体"/>
          <w:b w:val="0"/>
          <w:bCs w:val="0"/>
          <w:color w:val="000000"/>
          <w:kern w:val="0"/>
          <w:sz w:val="28"/>
          <w:szCs w:val="28"/>
          <w:lang w:bidi="ar"/>
        </w:rPr>
        <w:t>表3 方案汇报答辩评分细则</w:t>
      </w:r>
    </w:p>
    <w:tbl>
      <w:tblPr>
        <w:tblStyle w:val="24"/>
        <w:tblW w:w="83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9"/>
        <w:gridCol w:w="1285"/>
        <w:gridCol w:w="4720"/>
        <w:gridCol w:w="663"/>
        <w:gridCol w:w="815"/>
      </w:tblGrid>
      <w:tr w14:paraId="1A610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4" w:hRule="atLeast"/>
          <w:tblHeader/>
          <w:jc w:val="center"/>
        </w:trPr>
        <w:tc>
          <w:tcPr>
            <w:tcW w:w="859" w:type="dxa"/>
            <w:vAlign w:val="center"/>
          </w:tcPr>
          <w:p w14:paraId="1FF2519D">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1"/>
                <w:kern w:val="0"/>
                <w:sz w:val="24"/>
                <w:szCs w:val="23"/>
                <w:lang w:eastAsia="en-US"/>
              </w:rPr>
              <w:t>序号</w:t>
            </w:r>
          </w:p>
        </w:tc>
        <w:tc>
          <w:tcPr>
            <w:tcW w:w="1285" w:type="dxa"/>
            <w:vAlign w:val="center"/>
          </w:tcPr>
          <w:p w14:paraId="2E31BB38">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4"/>
                <w:kern w:val="0"/>
                <w:sz w:val="24"/>
                <w:szCs w:val="23"/>
                <w:lang w:eastAsia="en-US"/>
              </w:rPr>
              <w:t>评价指标</w:t>
            </w:r>
          </w:p>
        </w:tc>
        <w:tc>
          <w:tcPr>
            <w:tcW w:w="4720" w:type="dxa"/>
            <w:vAlign w:val="center"/>
          </w:tcPr>
          <w:p w14:paraId="44E81C40">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4"/>
                <w:kern w:val="0"/>
                <w:sz w:val="24"/>
                <w:szCs w:val="23"/>
                <w:lang w:eastAsia="en-US"/>
              </w:rPr>
              <w:t>评分细则</w:t>
            </w:r>
          </w:p>
        </w:tc>
        <w:tc>
          <w:tcPr>
            <w:tcW w:w="663" w:type="dxa"/>
            <w:vAlign w:val="center"/>
          </w:tcPr>
          <w:p w14:paraId="179092FA">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2"/>
                <w:kern w:val="0"/>
                <w:sz w:val="24"/>
                <w:szCs w:val="23"/>
                <w:lang w:eastAsia="en-US"/>
              </w:rPr>
              <w:t>分值</w:t>
            </w:r>
          </w:p>
        </w:tc>
        <w:tc>
          <w:tcPr>
            <w:tcW w:w="815" w:type="dxa"/>
            <w:vAlign w:val="center"/>
          </w:tcPr>
          <w:p w14:paraId="20633E7D">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3"/>
                <w:szCs w:val="23"/>
                <w:lang w:eastAsia="en-US"/>
              </w:rPr>
            </w:pPr>
            <w:r>
              <w:rPr>
                <w:rFonts w:ascii="宋体" w:hAnsi="宋体" w:eastAsia="宋体" w:cs="宋体"/>
                <w:b/>
                <w:bCs/>
                <w:snapToGrid w:val="0"/>
                <w:color w:val="000000"/>
                <w:spacing w:val="-1"/>
                <w:kern w:val="0"/>
                <w:sz w:val="24"/>
                <w:szCs w:val="23"/>
                <w:lang w:eastAsia="en-US"/>
              </w:rPr>
              <w:t>小计</w:t>
            </w:r>
          </w:p>
        </w:tc>
      </w:tr>
      <w:tr w14:paraId="23991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59" w:type="dxa"/>
            <w:vMerge w:val="restart"/>
            <w:tcBorders>
              <w:bottom w:val="nil"/>
            </w:tcBorders>
            <w:vAlign w:val="center"/>
          </w:tcPr>
          <w:p w14:paraId="64273CA9">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position w:val="1"/>
                <w:sz w:val="21"/>
                <w:lang w:eastAsia="en-US"/>
              </w:rPr>
              <w:t>1</w:t>
            </w:r>
          </w:p>
        </w:tc>
        <w:tc>
          <w:tcPr>
            <w:tcW w:w="1285" w:type="dxa"/>
            <w:vMerge w:val="restart"/>
            <w:tcBorders>
              <w:bottom w:val="nil"/>
            </w:tcBorders>
            <w:vAlign w:val="center"/>
          </w:tcPr>
          <w:p w14:paraId="0196BAA5">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汇报内容</w:t>
            </w:r>
          </w:p>
        </w:tc>
        <w:tc>
          <w:tcPr>
            <w:tcW w:w="4720" w:type="dxa"/>
            <w:vAlign w:val="center"/>
          </w:tcPr>
          <w:p w14:paraId="0E82F8AD">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4"/>
                <w:kern w:val="0"/>
                <w:sz w:val="21"/>
                <w:lang w:eastAsia="en-US"/>
              </w:rPr>
              <w:t>内容制作精美,表现形式丰富多样</w:t>
            </w:r>
          </w:p>
        </w:tc>
        <w:tc>
          <w:tcPr>
            <w:tcW w:w="663" w:type="dxa"/>
            <w:vAlign w:val="center"/>
          </w:tcPr>
          <w:p w14:paraId="518AC92F">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10</w:t>
            </w:r>
          </w:p>
        </w:tc>
        <w:tc>
          <w:tcPr>
            <w:tcW w:w="815" w:type="dxa"/>
            <w:vMerge w:val="restart"/>
            <w:tcBorders>
              <w:bottom w:val="nil"/>
            </w:tcBorders>
            <w:vAlign w:val="center"/>
          </w:tcPr>
          <w:p w14:paraId="585DDAA0">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4"/>
                <w:kern w:val="0"/>
                <w:sz w:val="21"/>
                <w:lang w:eastAsia="en-US"/>
              </w:rPr>
              <w:t>30</w:t>
            </w:r>
          </w:p>
        </w:tc>
      </w:tr>
      <w:tr w14:paraId="6313C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859" w:type="dxa"/>
            <w:vMerge w:val="continue"/>
            <w:tcBorders>
              <w:top w:val="nil"/>
              <w:bottom w:val="nil"/>
            </w:tcBorders>
          </w:tcPr>
          <w:p w14:paraId="4360C58E">
            <w:pPr>
              <w:pStyle w:val="27"/>
            </w:pPr>
          </w:p>
        </w:tc>
        <w:tc>
          <w:tcPr>
            <w:tcW w:w="1285" w:type="dxa"/>
            <w:vMerge w:val="continue"/>
            <w:tcBorders>
              <w:top w:val="nil"/>
              <w:bottom w:val="nil"/>
            </w:tcBorders>
          </w:tcPr>
          <w:p w14:paraId="7287A708">
            <w:pPr>
              <w:pStyle w:val="27"/>
            </w:pPr>
          </w:p>
        </w:tc>
        <w:tc>
          <w:tcPr>
            <w:tcW w:w="4720" w:type="dxa"/>
            <w:vAlign w:val="center"/>
          </w:tcPr>
          <w:p w14:paraId="591FE4ED">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12"/>
                <w:kern w:val="0"/>
                <w:sz w:val="21"/>
                <w:lang w:eastAsia="en-US"/>
              </w:rPr>
              <w:t>问题把握准确,针对性强,重点突出</w:t>
            </w:r>
          </w:p>
        </w:tc>
        <w:tc>
          <w:tcPr>
            <w:tcW w:w="663" w:type="dxa"/>
            <w:vAlign w:val="center"/>
          </w:tcPr>
          <w:p w14:paraId="379E3E3A">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10</w:t>
            </w:r>
          </w:p>
        </w:tc>
        <w:tc>
          <w:tcPr>
            <w:tcW w:w="815" w:type="dxa"/>
            <w:vMerge w:val="continue"/>
            <w:tcBorders>
              <w:top w:val="nil"/>
              <w:bottom w:val="nil"/>
            </w:tcBorders>
          </w:tcPr>
          <w:p w14:paraId="4CC600A6">
            <w:pPr>
              <w:pStyle w:val="27"/>
            </w:pPr>
          </w:p>
        </w:tc>
      </w:tr>
      <w:tr w14:paraId="6A9DE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59" w:type="dxa"/>
            <w:vMerge w:val="continue"/>
            <w:tcBorders>
              <w:top w:val="nil"/>
            </w:tcBorders>
          </w:tcPr>
          <w:p w14:paraId="08FB168C">
            <w:pPr>
              <w:pStyle w:val="27"/>
            </w:pPr>
          </w:p>
        </w:tc>
        <w:tc>
          <w:tcPr>
            <w:tcW w:w="1285" w:type="dxa"/>
            <w:vMerge w:val="continue"/>
            <w:tcBorders>
              <w:top w:val="nil"/>
            </w:tcBorders>
          </w:tcPr>
          <w:p w14:paraId="239C9C27">
            <w:pPr>
              <w:pStyle w:val="27"/>
            </w:pPr>
          </w:p>
        </w:tc>
        <w:tc>
          <w:tcPr>
            <w:tcW w:w="4720" w:type="dxa"/>
            <w:vAlign w:val="center"/>
          </w:tcPr>
          <w:p w14:paraId="4A1F4CD9">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4"/>
                <w:kern w:val="0"/>
                <w:sz w:val="21"/>
                <w:lang w:eastAsia="en-US"/>
              </w:rPr>
              <w:t>内容具体、完整,逻辑性和系统性强</w:t>
            </w:r>
          </w:p>
        </w:tc>
        <w:tc>
          <w:tcPr>
            <w:tcW w:w="663" w:type="dxa"/>
            <w:vAlign w:val="center"/>
          </w:tcPr>
          <w:p w14:paraId="2DD40204">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10</w:t>
            </w:r>
          </w:p>
        </w:tc>
        <w:tc>
          <w:tcPr>
            <w:tcW w:w="815" w:type="dxa"/>
            <w:vMerge w:val="continue"/>
            <w:tcBorders>
              <w:top w:val="nil"/>
            </w:tcBorders>
          </w:tcPr>
          <w:p w14:paraId="395E1D7C">
            <w:pPr>
              <w:pStyle w:val="27"/>
            </w:pPr>
          </w:p>
        </w:tc>
      </w:tr>
      <w:tr w14:paraId="58B60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859" w:type="dxa"/>
            <w:vMerge w:val="restart"/>
            <w:tcBorders>
              <w:bottom w:val="nil"/>
            </w:tcBorders>
            <w:vAlign w:val="center"/>
          </w:tcPr>
          <w:p w14:paraId="3ABEF312">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position w:val="1"/>
                <w:sz w:val="21"/>
                <w:lang w:eastAsia="en-US"/>
              </w:rPr>
              <w:t>2</w:t>
            </w:r>
          </w:p>
        </w:tc>
        <w:tc>
          <w:tcPr>
            <w:tcW w:w="1285" w:type="dxa"/>
            <w:vMerge w:val="restart"/>
            <w:tcBorders>
              <w:bottom w:val="nil"/>
            </w:tcBorders>
            <w:vAlign w:val="center"/>
          </w:tcPr>
          <w:p w14:paraId="693882C8">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汇报讲解</w:t>
            </w:r>
          </w:p>
        </w:tc>
        <w:tc>
          <w:tcPr>
            <w:tcW w:w="4720" w:type="dxa"/>
            <w:vAlign w:val="center"/>
          </w:tcPr>
          <w:p w14:paraId="37FE2140">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6"/>
                <w:kern w:val="0"/>
                <w:sz w:val="21"/>
                <w:lang w:eastAsia="en-US"/>
              </w:rPr>
              <w:t>内容简洁凝练,突出生产物流系统规划方</w:t>
            </w:r>
            <w:r>
              <w:rPr>
                <w:rFonts w:ascii="宋体" w:hAnsi="宋体" w:eastAsia="宋体" w:cs="宋体"/>
                <w:b w:val="0"/>
                <w:snapToGrid w:val="0"/>
                <w:color w:val="000000"/>
                <w:spacing w:val="-12"/>
                <w:kern w:val="0"/>
                <w:sz w:val="21"/>
                <w:lang w:eastAsia="en-US"/>
              </w:rPr>
              <w:t>法论</w:t>
            </w:r>
          </w:p>
        </w:tc>
        <w:tc>
          <w:tcPr>
            <w:tcW w:w="663" w:type="dxa"/>
            <w:vAlign w:val="center"/>
          </w:tcPr>
          <w:p w14:paraId="2B4E71FD">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10</w:t>
            </w:r>
          </w:p>
        </w:tc>
        <w:tc>
          <w:tcPr>
            <w:tcW w:w="815" w:type="dxa"/>
            <w:vMerge w:val="restart"/>
            <w:tcBorders>
              <w:bottom w:val="nil"/>
            </w:tcBorders>
            <w:vAlign w:val="center"/>
          </w:tcPr>
          <w:p w14:paraId="712CA4AA">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4"/>
                <w:kern w:val="0"/>
                <w:sz w:val="21"/>
                <w:lang w:eastAsia="en-US"/>
              </w:rPr>
              <w:t>30</w:t>
            </w:r>
          </w:p>
        </w:tc>
      </w:tr>
      <w:tr w14:paraId="22740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859" w:type="dxa"/>
            <w:vMerge w:val="continue"/>
            <w:tcBorders>
              <w:top w:val="nil"/>
              <w:bottom w:val="nil"/>
            </w:tcBorders>
          </w:tcPr>
          <w:p w14:paraId="5B7EC552">
            <w:pPr>
              <w:pStyle w:val="27"/>
            </w:pPr>
          </w:p>
        </w:tc>
        <w:tc>
          <w:tcPr>
            <w:tcW w:w="1285" w:type="dxa"/>
            <w:vMerge w:val="continue"/>
            <w:tcBorders>
              <w:top w:val="nil"/>
              <w:bottom w:val="nil"/>
            </w:tcBorders>
          </w:tcPr>
          <w:p w14:paraId="2964D0BA">
            <w:pPr>
              <w:pStyle w:val="27"/>
            </w:pPr>
          </w:p>
        </w:tc>
        <w:tc>
          <w:tcPr>
            <w:tcW w:w="4720" w:type="dxa"/>
            <w:vAlign w:val="center"/>
          </w:tcPr>
          <w:p w14:paraId="1BA845AA">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6"/>
                <w:kern w:val="0"/>
                <w:sz w:val="21"/>
                <w:lang w:eastAsia="en-US"/>
              </w:rPr>
              <w:t>表述准确明了,富有感染力和说服力</w:t>
            </w:r>
          </w:p>
        </w:tc>
        <w:tc>
          <w:tcPr>
            <w:tcW w:w="663" w:type="dxa"/>
            <w:vAlign w:val="center"/>
          </w:tcPr>
          <w:p w14:paraId="21855949">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10</w:t>
            </w:r>
          </w:p>
        </w:tc>
        <w:tc>
          <w:tcPr>
            <w:tcW w:w="815" w:type="dxa"/>
            <w:vMerge w:val="continue"/>
            <w:tcBorders>
              <w:top w:val="nil"/>
              <w:bottom w:val="nil"/>
            </w:tcBorders>
          </w:tcPr>
          <w:p w14:paraId="13BF06C9">
            <w:pPr>
              <w:pStyle w:val="27"/>
            </w:pPr>
          </w:p>
        </w:tc>
      </w:tr>
      <w:tr w14:paraId="1F7BF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859" w:type="dxa"/>
            <w:vMerge w:val="continue"/>
            <w:tcBorders>
              <w:top w:val="nil"/>
            </w:tcBorders>
          </w:tcPr>
          <w:p w14:paraId="58776BF8">
            <w:pPr>
              <w:pStyle w:val="27"/>
            </w:pPr>
          </w:p>
        </w:tc>
        <w:tc>
          <w:tcPr>
            <w:tcW w:w="1285" w:type="dxa"/>
            <w:vMerge w:val="continue"/>
            <w:tcBorders>
              <w:top w:val="nil"/>
            </w:tcBorders>
          </w:tcPr>
          <w:p w14:paraId="7875F5E3">
            <w:pPr>
              <w:pStyle w:val="27"/>
            </w:pPr>
          </w:p>
        </w:tc>
        <w:tc>
          <w:tcPr>
            <w:tcW w:w="4720" w:type="dxa"/>
            <w:vAlign w:val="center"/>
          </w:tcPr>
          <w:p w14:paraId="6066FBC6">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2"/>
                <w:kern w:val="0"/>
                <w:sz w:val="21"/>
                <w:lang w:eastAsia="en-US"/>
              </w:rPr>
              <w:t>表现大方得体、着装整洁、精神饱满</w:t>
            </w:r>
          </w:p>
        </w:tc>
        <w:tc>
          <w:tcPr>
            <w:tcW w:w="663" w:type="dxa"/>
            <w:vAlign w:val="center"/>
          </w:tcPr>
          <w:p w14:paraId="69D5D3F0">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10</w:t>
            </w:r>
          </w:p>
        </w:tc>
        <w:tc>
          <w:tcPr>
            <w:tcW w:w="815" w:type="dxa"/>
            <w:vMerge w:val="continue"/>
            <w:tcBorders>
              <w:top w:val="nil"/>
            </w:tcBorders>
          </w:tcPr>
          <w:p w14:paraId="4B308570">
            <w:pPr>
              <w:pStyle w:val="27"/>
            </w:pPr>
          </w:p>
        </w:tc>
      </w:tr>
      <w:tr w14:paraId="5E2F2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859" w:type="dxa"/>
            <w:vMerge w:val="restart"/>
            <w:tcBorders>
              <w:bottom w:val="nil"/>
            </w:tcBorders>
            <w:vAlign w:val="center"/>
          </w:tcPr>
          <w:p w14:paraId="5207B489">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kern w:val="0"/>
                <w:sz w:val="21"/>
                <w:lang w:eastAsia="en-US"/>
              </w:rPr>
              <w:t>3</w:t>
            </w:r>
          </w:p>
        </w:tc>
        <w:tc>
          <w:tcPr>
            <w:tcW w:w="1285" w:type="dxa"/>
            <w:vMerge w:val="restart"/>
            <w:tcBorders>
              <w:bottom w:val="nil"/>
            </w:tcBorders>
            <w:vAlign w:val="center"/>
          </w:tcPr>
          <w:p w14:paraId="1BB6686C">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4"/>
                <w:kern w:val="0"/>
                <w:sz w:val="21"/>
                <w:lang w:eastAsia="en-US"/>
              </w:rPr>
              <w:t>答辩</w:t>
            </w:r>
          </w:p>
        </w:tc>
        <w:tc>
          <w:tcPr>
            <w:tcW w:w="4720" w:type="dxa"/>
            <w:vAlign w:val="center"/>
          </w:tcPr>
          <w:p w14:paraId="3FD0AE02">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14"/>
                <w:kern w:val="0"/>
                <w:sz w:val="21"/>
                <w:lang w:eastAsia="en-US"/>
              </w:rPr>
              <w:t>准确理解问题,回答具有针对性,深入问</w:t>
            </w:r>
            <w:r>
              <w:rPr>
                <w:rFonts w:ascii="宋体" w:hAnsi="宋体" w:eastAsia="宋体" w:cs="宋体"/>
                <w:b w:val="0"/>
                <w:snapToGrid w:val="0"/>
                <w:color w:val="000000"/>
                <w:spacing w:val="-6"/>
                <w:kern w:val="0"/>
                <w:sz w:val="21"/>
                <w:lang w:eastAsia="en-US"/>
              </w:rPr>
              <w:t>题本质</w:t>
            </w:r>
          </w:p>
        </w:tc>
        <w:tc>
          <w:tcPr>
            <w:tcW w:w="663" w:type="dxa"/>
            <w:vAlign w:val="center"/>
          </w:tcPr>
          <w:p w14:paraId="43B05419">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3"/>
                <w:kern w:val="0"/>
                <w:sz w:val="21"/>
                <w:lang w:eastAsia="en-US"/>
              </w:rPr>
              <w:t>20</w:t>
            </w:r>
          </w:p>
        </w:tc>
        <w:tc>
          <w:tcPr>
            <w:tcW w:w="815" w:type="dxa"/>
            <w:vMerge w:val="restart"/>
            <w:tcBorders>
              <w:bottom w:val="nil"/>
            </w:tcBorders>
            <w:vAlign w:val="center"/>
          </w:tcPr>
          <w:p w14:paraId="13C3EB86">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4"/>
                <w:kern w:val="0"/>
                <w:sz w:val="21"/>
                <w:lang w:eastAsia="en-US"/>
              </w:rPr>
              <w:t>40</w:t>
            </w:r>
          </w:p>
        </w:tc>
      </w:tr>
      <w:tr w14:paraId="57449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859" w:type="dxa"/>
            <w:vMerge w:val="continue"/>
            <w:tcBorders>
              <w:top w:val="nil"/>
              <w:bottom w:val="nil"/>
            </w:tcBorders>
          </w:tcPr>
          <w:p w14:paraId="52069AD0">
            <w:pPr>
              <w:pStyle w:val="27"/>
            </w:pPr>
          </w:p>
        </w:tc>
        <w:tc>
          <w:tcPr>
            <w:tcW w:w="1285" w:type="dxa"/>
            <w:vMerge w:val="continue"/>
            <w:tcBorders>
              <w:top w:val="nil"/>
              <w:bottom w:val="nil"/>
            </w:tcBorders>
          </w:tcPr>
          <w:p w14:paraId="626E10F3">
            <w:pPr>
              <w:pStyle w:val="27"/>
            </w:pPr>
          </w:p>
        </w:tc>
        <w:tc>
          <w:tcPr>
            <w:tcW w:w="4720" w:type="dxa"/>
            <w:vAlign w:val="center"/>
          </w:tcPr>
          <w:p w14:paraId="338D2FFE">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13"/>
                <w:kern w:val="0"/>
                <w:sz w:val="21"/>
                <w:lang w:eastAsia="en-US"/>
              </w:rPr>
              <w:t>思路清晰,逻辑严密,语言简洁流畅</w:t>
            </w:r>
          </w:p>
        </w:tc>
        <w:tc>
          <w:tcPr>
            <w:tcW w:w="663" w:type="dxa"/>
            <w:vAlign w:val="center"/>
          </w:tcPr>
          <w:p w14:paraId="4A76E476">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10</w:t>
            </w:r>
          </w:p>
        </w:tc>
        <w:tc>
          <w:tcPr>
            <w:tcW w:w="815" w:type="dxa"/>
            <w:vMerge w:val="continue"/>
            <w:tcBorders>
              <w:top w:val="nil"/>
              <w:bottom w:val="nil"/>
            </w:tcBorders>
          </w:tcPr>
          <w:p w14:paraId="4E275DC1">
            <w:pPr>
              <w:pStyle w:val="27"/>
            </w:pPr>
          </w:p>
        </w:tc>
      </w:tr>
      <w:tr w14:paraId="61BAB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859" w:type="dxa"/>
            <w:vMerge w:val="continue"/>
            <w:tcBorders>
              <w:top w:val="nil"/>
            </w:tcBorders>
          </w:tcPr>
          <w:p w14:paraId="7E12C274">
            <w:pPr>
              <w:pStyle w:val="27"/>
            </w:pPr>
          </w:p>
        </w:tc>
        <w:tc>
          <w:tcPr>
            <w:tcW w:w="1285" w:type="dxa"/>
            <w:vMerge w:val="continue"/>
            <w:tcBorders>
              <w:top w:val="nil"/>
            </w:tcBorders>
          </w:tcPr>
          <w:p w14:paraId="30BAD5FA">
            <w:pPr>
              <w:pStyle w:val="27"/>
            </w:pPr>
          </w:p>
        </w:tc>
        <w:tc>
          <w:tcPr>
            <w:tcW w:w="4720" w:type="dxa"/>
            <w:vAlign w:val="center"/>
          </w:tcPr>
          <w:p w14:paraId="0AAF98C9">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团队配合默契,协作高效</w:t>
            </w:r>
          </w:p>
        </w:tc>
        <w:tc>
          <w:tcPr>
            <w:tcW w:w="663" w:type="dxa"/>
            <w:vAlign w:val="center"/>
          </w:tcPr>
          <w:p w14:paraId="0D851D02">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7"/>
                <w:kern w:val="0"/>
                <w:sz w:val="21"/>
                <w:lang w:eastAsia="en-US"/>
              </w:rPr>
              <w:t>10</w:t>
            </w:r>
          </w:p>
        </w:tc>
        <w:tc>
          <w:tcPr>
            <w:tcW w:w="815" w:type="dxa"/>
            <w:vMerge w:val="continue"/>
            <w:tcBorders>
              <w:top w:val="nil"/>
            </w:tcBorders>
          </w:tcPr>
          <w:p w14:paraId="46B67BDD">
            <w:pPr>
              <w:pStyle w:val="27"/>
            </w:pPr>
          </w:p>
        </w:tc>
      </w:tr>
      <w:tr w14:paraId="51387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jc w:val="center"/>
        </w:trPr>
        <w:tc>
          <w:tcPr>
            <w:tcW w:w="6864" w:type="dxa"/>
            <w:gridSpan w:val="3"/>
            <w:vAlign w:val="center"/>
          </w:tcPr>
          <w:p w14:paraId="53480A2A">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6"/>
                <w:kern w:val="0"/>
                <w:sz w:val="21"/>
                <w:lang w:eastAsia="en-US"/>
              </w:rPr>
              <w:t>合计</w:t>
            </w:r>
          </w:p>
        </w:tc>
        <w:tc>
          <w:tcPr>
            <w:tcW w:w="1478" w:type="dxa"/>
            <w:gridSpan w:val="2"/>
            <w:vAlign w:val="center"/>
          </w:tcPr>
          <w:p w14:paraId="0DBAC587">
            <w:pPr>
              <w:widowControl/>
              <w:kinsoku w:val="0"/>
              <w:autoSpaceDE w:val="0"/>
              <w:autoSpaceDN w:val="0"/>
              <w:adjustRightInd w:val="0"/>
              <w:snapToGrid w:val="0"/>
              <w:spacing w:before="0" w:after="0" w:line="540" w:lineRule="exact"/>
              <w:ind w:left="0" w:right="0" w:firstLine="0"/>
              <w:jc w:val="center"/>
              <w:textAlignment w:val="baseline"/>
              <w:rPr>
                <w:rFonts w:ascii="仿宋" w:hAnsi="仿宋" w:eastAsia="仿宋" w:cs="仿宋"/>
                <w:snapToGrid w:val="0"/>
                <w:color w:val="000000"/>
                <w:kern w:val="0"/>
                <w:sz w:val="24"/>
                <w:lang w:eastAsia="en-US"/>
              </w:rPr>
            </w:pPr>
            <w:r>
              <w:rPr>
                <w:rFonts w:ascii="宋体" w:hAnsi="宋体" w:eastAsia="宋体" w:cs="宋体"/>
                <w:b w:val="0"/>
                <w:snapToGrid w:val="0"/>
                <w:color w:val="000000"/>
                <w:spacing w:val="-6"/>
                <w:kern w:val="0"/>
                <w:sz w:val="21"/>
                <w:lang w:eastAsia="en-US"/>
              </w:rPr>
              <w:t>100</w:t>
            </w:r>
          </w:p>
        </w:tc>
      </w:tr>
    </w:tbl>
    <w:p w14:paraId="7F58A4CC">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（四）违规扣分 </w:t>
      </w:r>
    </w:p>
    <w:p w14:paraId="06B712D6">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1.在完成工作任务的过程中,因操作不当导致人身或设备安全事故的,根据影响程度扣分,直至取消比赛资格。</w:t>
      </w:r>
    </w:p>
    <w:p w14:paraId="385A3E6F">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2.损坏赛场提供的设备,污染赛场环境等不符合职业规范行为的,根据影响程度扣分。</w:t>
      </w:r>
    </w:p>
    <w:p w14:paraId="791A05FB">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3.在竞赛时段,参赛选手有不服从裁判扰乱赛场秩序、有作弊行为的、裁判宣布竞赛时间到仍强行操作的,取消参赛队奖项评比资格。</w:t>
      </w:r>
    </w:p>
    <w:p w14:paraId="76647055">
      <w:pPr>
        <w:widowControl/>
        <w:spacing w:before="0" w:after="0" w:line="540" w:lineRule="exact"/>
        <w:ind w:left="0" w:right="0" w:firstLine="562" w:firstLineChars="200"/>
        <w:jc w:val="both"/>
        <w:rPr>
          <w:rFonts w:hint="eastAsia" w:ascii="仿宋_GB2312" w:hAnsi="仿宋_GB2312" w:eastAsia="仿宋_GB2312" w:cs="仿宋_GB2312"/>
          <w:b/>
          <w:color w:val="000000"/>
          <w:kern w:val="0"/>
          <w:sz w:val="28"/>
          <w:szCs w:val="28"/>
          <w:lang w:bidi="ar"/>
        </w:rPr>
      </w:pPr>
      <w:r>
        <w:rPr>
          <w:rFonts w:hint="eastAsia" w:ascii="仿宋_GB2312" w:hAnsi="仿宋_GB2312" w:eastAsia="仿宋_GB2312" w:cs="仿宋_GB2312"/>
          <w:b/>
          <w:color w:val="000000"/>
          <w:kern w:val="0"/>
          <w:sz w:val="28"/>
          <w:szCs w:val="28"/>
          <w:lang w:bidi="ar"/>
        </w:rPr>
        <w:t>4.选手提交的参赛文件上留有本参赛队信息的标识、符号、文字,视同作弊,取消参赛队奖项评比资格。</w:t>
      </w:r>
    </w:p>
    <w:p w14:paraId="63EAC787">
      <w:pPr>
        <w:widowControl/>
        <w:spacing w:before="0" w:after="0" w:line="540" w:lineRule="exact"/>
        <w:ind w:left="0" w:right="0" w:firstLine="562" w:firstLineChars="200"/>
        <w:jc w:val="both"/>
        <w:rPr>
          <w:rFonts w:hint="eastAsia" w:ascii="仿宋_GB2312" w:hAnsi="仿宋_GB2312" w:eastAsia="仿宋_GB2312" w:cs="仿宋_GB2312"/>
          <w:b/>
          <w:color w:val="000000"/>
          <w:kern w:val="0"/>
          <w:sz w:val="28"/>
          <w:szCs w:val="28"/>
          <w:lang w:bidi="ar"/>
        </w:rPr>
      </w:pPr>
    </w:p>
    <w:p w14:paraId="06365A5A">
      <w:pPr>
        <w:widowControl/>
        <w:spacing w:before="0" w:after="0" w:line="540" w:lineRule="exact"/>
        <w:ind w:left="0" w:right="0" w:firstLine="560"/>
        <w:jc w:val="both"/>
        <w:outlineLvl w:val="0"/>
        <w:rPr>
          <w:rFonts w:hint="eastAsia" w:ascii="仿宋" w:hAnsi="仿宋" w:eastAsia="仿宋" w:cs="仿宋"/>
          <w:sz w:val="28"/>
          <w:szCs w:val="28"/>
        </w:rPr>
      </w:pPr>
      <w:bookmarkStart w:id="15" w:name="_Toc787292098"/>
      <w:r>
        <w:rPr>
          <w:rFonts w:hint="eastAsia" w:ascii="黑体" w:hAnsi="黑体" w:eastAsia="黑体" w:cs="黑体"/>
          <w:b w:val="0"/>
          <w:bCs w:val="0"/>
          <w:color w:val="000000"/>
          <w:kern w:val="0"/>
          <w:sz w:val="28"/>
          <w:szCs w:val="28"/>
          <w:lang w:bidi="ar"/>
        </w:rPr>
        <w:t>十二、奖项设定</w:t>
      </w:r>
      <w:bookmarkEnd w:id="15"/>
      <w:r>
        <w:rPr>
          <w:rFonts w:hint="eastAsia" w:ascii="黑体" w:hAnsi="黑体" w:eastAsia="黑体" w:cs="黑体"/>
          <w:b w:val="0"/>
          <w:bCs w:val="0"/>
          <w:color w:val="000000"/>
          <w:kern w:val="0"/>
          <w:sz w:val="28"/>
          <w:szCs w:val="28"/>
          <w:lang w:bidi="ar"/>
        </w:rPr>
        <w:t xml:space="preserve"> </w:t>
      </w:r>
    </w:p>
    <w:p w14:paraId="6E34F0B4">
      <w:pPr>
        <w:widowControl/>
        <w:spacing w:before="0" w:after="0" w:line="540" w:lineRule="exact"/>
        <w:ind w:left="0" w:right="0" w:firstLine="560"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参照</w:t>
      </w:r>
      <w:r>
        <w:rPr>
          <w:rFonts w:hint="eastAsia" w:ascii="仿宋_GB2312" w:hAnsi="仿宋_GB2312" w:eastAsia="仿宋_GB2312" w:cs="仿宋_GB2312"/>
          <w:b w:val="0"/>
          <w:color w:val="000000"/>
          <w:kern w:val="0"/>
          <w:sz w:val="28"/>
          <w:szCs w:val="28"/>
          <w:lang w:eastAsia="zh-Hans" w:bidi="ar"/>
        </w:rPr>
        <w:t>海南</w:t>
      </w:r>
      <w:r>
        <w:rPr>
          <w:rFonts w:hint="eastAsia" w:ascii="仿宋_GB2312" w:hAnsi="仿宋_GB2312" w:eastAsia="仿宋_GB2312" w:cs="仿宋_GB2312"/>
          <w:b w:val="0"/>
          <w:color w:val="000000"/>
          <w:kern w:val="0"/>
          <w:sz w:val="28"/>
          <w:szCs w:val="28"/>
          <w:lang w:bidi="ar"/>
        </w:rPr>
        <w:t>省教育厅技能大赛文件执行</w:t>
      </w:r>
    </w:p>
    <w:p w14:paraId="00032A92">
      <w:pPr>
        <w:widowControl/>
        <w:spacing w:before="0" w:after="0" w:line="540" w:lineRule="exact"/>
        <w:ind w:left="0" w:right="0" w:firstLine="560"/>
        <w:jc w:val="both"/>
        <w:outlineLvl w:val="0"/>
        <w:rPr>
          <w:rFonts w:hint="eastAsia" w:ascii="仿宋" w:hAnsi="仿宋" w:eastAsia="仿宋" w:cs="仿宋"/>
          <w:sz w:val="28"/>
          <w:szCs w:val="28"/>
        </w:rPr>
      </w:pPr>
      <w:bookmarkStart w:id="16" w:name="_Toc1371541919"/>
      <w:r>
        <w:rPr>
          <w:rFonts w:hint="eastAsia" w:ascii="黑体" w:hAnsi="黑体" w:eastAsia="黑体" w:cs="黑体"/>
          <w:b w:val="0"/>
          <w:bCs w:val="0"/>
          <w:color w:val="000000"/>
          <w:kern w:val="0"/>
          <w:sz w:val="28"/>
          <w:szCs w:val="28"/>
          <w:lang w:bidi="ar"/>
        </w:rPr>
        <w:t>十三、赛场预案</w:t>
      </w:r>
      <w:bookmarkEnd w:id="16"/>
      <w:r>
        <w:rPr>
          <w:rFonts w:hint="eastAsia" w:ascii="黑体" w:hAnsi="黑体" w:eastAsia="黑体" w:cs="黑体"/>
          <w:b w:val="0"/>
          <w:bCs w:val="0"/>
          <w:color w:val="000000"/>
          <w:kern w:val="0"/>
          <w:sz w:val="28"/>
          <w:szCs w:val="28"/>
          <w:lang w:bidi="ar"/>
        </w:rPr>
        <w:t xml:space="preserve"> </w:t>
      </w:r>
    </w:p>
    <w:p w14:paraId="1484DC36">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1.赛场配备技术人员，当计算机、设备等出现问题时，技术人员可第一时间提供专业技术支持。 </w:t>
      </w:r>
    </w:p>
    <w:p w14:paraId="4800CDCC">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2.竞赛现场配置安全通道，当出现火情或其他灾害情况，工作人员应立即向保卫组汇报，保卫组接报后要火速到达现场并配合消防队员和公安干警，指挥人员疏散到安全区域并及时处置现场状况。 </w:t>
      </w:r>
    </w:p>
    <w:p w14:paraId="61E3EC07">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3.竞赛过程中出现设备断电、故障等意外时，现场裁判需及时确认情况，安排技术支持人员进行处理，现场裁判登记详细情况，填写补时登记表，报裁判长批准后，可安排延长补足相应选手的比赛时间。</w:t>
      </w:r>
    </w:p>
    <w:p w14:paraId="7FE2B3B0">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4. 当出现非选手原因设备断电、故障等意外时，经现场裁判认可，裁判长确认予以安排备用工位进行比赛。若因选手操作不当造成，由操作者个人负责。 </w:t>
      </w:r>
    </w:p>
    <w:p w14:paraId="37145D66">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5.赛场设有应急医疗点，用于参赛选手突发身体不适（如发热、咳嗽等）或出现碰伤、划伤等意外情况的应急处理；如应急医疗点诊断参赛选手可以继续比赛的，经裁判长确认予以安排原工位或备用工位进行比赛。如参赛选手不能继续参加比赛的，必要时可联系120急救车。</w:t>
      </w:r>
    </w:p>
    <w:p w14:paraId="234FF2A4">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6.比赛期间发生意外事故，发现者应第一时间报告执委会，同时采取措施避免事态扩大。赛项出现重大安全问题可以停赛，是否停赛由执委会决定。事后执委会应向组委会报告详细情况。 </w:t>
      </w:r>
    </w:p>
    <w:p w14:paraId="4D1C3639">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7.未能预知的其他问题的预案。裁判长根据裁判的报告，根据现场实际情况，做出裁定。 </w:t>
      </w:r>
    </w:p>
    <w:p w14:paraId="4E590ED5">
      <w:pPr>
        <w:widowControl/>
        <w:spacing w:before="0" w:after="0" w:line="540" w:lineRule="exact"/>
        <w:ind w:left="0" w:right="0" w:firstLine="560"/>
        <w:jc w:val="both"/>
        <w:outlineLvl w:val="0"/>
        <w:rPr>
          <w:rFonts w:hint="eastAsia" w:ascii="仿宋" w:hAnsi="仿宋" w:eastAsia="仿宋" w:cs="仿宋"/>
          <w:sz w:val="28"/>
          <w:szCs w:val="28"/>
        </w:rPr>
      </w:pPr>
      <w:bookmarkStart w:id="17" w:name="_Toc415565735"/>
      <w:r>
        <w:rPr>
          <w:rFonts w:hint="eastAsia" w:ascii="黑体" w:hAnsi="黑体" w:eastAsia="黑体" w:cs="黑体"/>
          <w:b w:val="0"/>
          <w:bCs w:val="0"/>
          <w:color w:val="000000"/>
          <w:kern w:val="0"/>
          <w:sz w:val="28"/>
          <w:szCs w:val="28"/>
          <w:lang w:bidi="ar"/>
        </w:rPr>
        <w:t>十四、赛项安全</w:t>
      </w:r>
      <w:bookmarkEnd w:id="17"/>
      <w:r>
        <w:rPr>
          <w:rFonts w:hint="eastAsia" w:ascii="黑体" w:hAnsi="黑体" w:eastAsia="黑体" w:cs="黑体"/>
          <w:b w:val="0"/>
          <w:bCs w:val="0"/>
          <w:color w:val="000000"/>
          <w:kern w:val="0"/>
          <w:sz w:val="28"/>
          <w:szCs w:val="28"/>
          <w:lang w:bidi="ar"/>
        </w:rPr>
        <w:t xml:space="preserve"> </w:t>
      </w:r>
    </w:p>
    <w:p w14:paraId="499AF152">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赛事安全是赛项一切工作顺利开展的先决条件，是赛事筹备和运 </w:t>
      </w:r>
    </w:p>
    <w:p w14:paraId="5828BEDD">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行工作必须考虑的核心问题。赛项执委会采取切实有效措施保证大赛 </w:t>
      </w:r>
    </w:p>
    <w:p w14:paraId="2E2F0997">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期间参赛选手、指导教师、工作人员等人员的人身安全。</w:t>
      </w:r>
    </w:p>
    <w:p w14:paraId="5D8FAF82">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（一）组织机构 </w:t>
      </w:r>
    </w:p>
    <w:p w14:paraId="6C4CFD45">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1.成立大赛突发安全事故应急工作领导小组，由赛点总指挥任组长，副总指挥任副组长，成员由安保组组长、后勤保障组组长等人员组成。</w:t>
      </w:r>
    </w:p>
    <w:p w14:paraId="609D213F">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2.大赛突发安全事故应急工作领导小组职责。</w:t>
      </w:r>
    </w:p>
    <w:p w14:paraId="07115E5C">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统一指挥、协调和组织大赛期间突发安全事故的应急处理工作。制定各类突发事故的应对措施，重点做好火灾安全事故、交通安全事故、食物中毒安全事故、用电安全事故、医疗紧急病情的防范工作， 设备故障，组织各种突发事件的紧急处理，最大程度地避免次生事故， </w:t>
      </w:r>
    </w:p>
    <w:p w14:paraId="405D9530">
      <w:pPr>
        <w:widowControl/>
        <w:spacing w:before="0" w:after="0" w:line="540" w:lineRule="exact"/>
        <w:ind w:left="0" w:right="0" w:firstLine="56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val="0"/>
          <w:color w:val="000000"/>
          <w:kern w:val="0"/>
          <w:sz w:val="28"/>
          <w:szCs w:val="28"/>
          <w:lang w:bidi="ar"/>
        </w:rPr>
        <w:t xml:space="preserve">及时报告上级有关部门，做好各种事件的善后工作。 </w:t>
      </w:r>
    </w:p>
    <w:p w14:paraId="61311AE4">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（二）安全事故报告及处理程序 </w:t>
      </w:r>
    </w:p>
    <w:p w14:paraId="33E18F78">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1.大赛过程中如遇突发安全事故后，有关人员必须立即向领导小组报告，并及时向有关部门报案请求援助。 </w:t>
      </w:r>
    </w:p>
    <w:p w14:paraId="6F49C4FC">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2.大赛过程中如遇突发安全事故后，本着“先控制、后处置、救人第一，减少损失”的原则，领导小组应果断处理，积极抢救，指导现场参赛师生离开危险区域，保护好大赛区域内的贵重物品，认真维护现场秩序，做好事故现场保护工作，做好善后处理工作。 </w:t>
      </w:r>
    </w:p>
    <w:p w14:paraId="7C16E1F1">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3.大赛突发安全事故应急领导小组接到大赛突发安全事故报告后，立即到达事故现场，迅速组织抢救和善后处置，并根据事故情况及时向上级部门汇报。 </w:t>
      </w:r>
    </w:p>
    <w:p w14:paraId="14E6D80F">
      <w:pPr>
        <w:widowControl/>
        <w:spacing w:before="0" w:after="0" w:line="540" w:lineRule="exact"/>
        <w:ind w:left="0" w:right="0" w:firstLine="562" w:firstLineChars="200"/>
        <w:jc w:val="both"/>
        <w:rPr>
          <w:rFonts w:hint="eastAsia" w:ascii="仿宋" w:hAnsi="仿宋" w:eastAsia="仿宋" w:cs="仿宋"/>
          <w:color w:val="000000"/>
          <w:kern w:val="0"/>
          <w:sz w:val="28"/>
          <w:szCs w:val="28"/>
          <w:lang w:bidi="ar"/>
        </w:rPr>
      </w:pPr>
      <w:r>
        <w:rPr>
          <w:rFonts w:hint="eastAsia" w:ascii="仿宋_GB2312" w:hAnsi="仿宋_GB2312" w:eastAsia="仿宋_GB2312" w:cs="仿宋_GB2312"/>
          <w:b/>
          <w:color w:val="000000"/>
          <w:kern w:val="0"/>
          <w:sz w:val="28"/>
          <w:szCs w:val="28"/>
          <w:lang w:bidi="ar"/>
        </w:rPr>
        <w:t xml:space="preserve">4.大赛期间遇有突发或紧急情况，由指定专人指引、带领及时做好疏散。 </w:t>
      </w:r>
    </w:p>
    <w:p w14:paraId="76FB7483">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（三）比赛环境 </w:t>
      </w:r>
    </w:p>
    <w:p w14:paraId="27B1C738">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1</w:t>
      </w:r>
      <w:r>
        <w:rPr>
          <w:rFonts w:hint="eastAsia" w:ascii="仿宋_GB2312" w:hAnsi="仿宋_GB2312" w:eastAsia="仿宋_GB2312" w:cs="仿宋_GB2312"/>
          <w:b/>
          <w:color w:val="000000"/>
          <w:kern w:val="0"/>
          <w:sz w:val="28"/>
          <w:szCs w:val="28"/>
          <w:lang w:eastAsia="zh-Hans" w:bidi="ar"/>
        </w:rPr>
        <w:t>.</w:t>
      </w:r>
      <w:r>
        <w:rPr>
          <w:rFonts w:hint="eastAsia" w:ascii="仿宋_GB2312" w:hAnsi="仿宋_GB2312" w:eastAsia="仿宋_GB2312" w:cs="仿宋_GB2312"/>
          <w:b/>
          <w:color w:val="000000"/>
          <w:kern w:val="0"/>
          <w:sz w:val="28"/>
          <w:szCs w:val="28"/>
          <w:lang w:bidi="ar"/>
        </w:rPr>
        <w:t xml:space="preserve">赛前组织专人对比赛现场、住宿场所和交通保障进行考察，并对安全工作提出明确要求。赛场的布置，赛场内的器材、设备应符合国家有关安全规定。赛前进行赛场全负荷模拟测试，以发现可能出现的问题，及时排除安全隐患。 </w:t>
      </w:r>
    </w:p>
    <w:p w14:paraId="6A346C1C">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2.赛场周围要设立警戒线，无关人员不得进入。比赛现场内应参照相关职业岗位的要求为选手提供必要的劳动保护。在具有危险性的操作环节，裁判员要严防选手出现错误操作。 </w:t>
      </w:r>
    </w:p>
    <w:p w14:paraId="782453EC">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3.参赛选手、赛事裁判、工作人员进入赛场区域内，严禁携带通 </w:t>
      </w:r>
    </w:p>
    <w:p w14:paraId="24B47833">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讯、照相摄录设备、记录用具。赛项需要配置安检设备对进入赛场人 </w:t>
      </w:r>
    </w:p>
    <w:p w14:paraId="3A7412EC">
      <w:pPr>
        <w:widowControl/>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员进行安检。 </w:t>
      </w:r>
    </w:p>
    <w:p w14:paraId="1206ABC6">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（四）处罚措施 </w:t>
      </w:r>
    </w:p>
    <w:p w14:paraId="24F87BB6">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1.因参赛队伍原因造成重大安全事故的，取消其获奖资格。 </w:t>
      </w:r>
    </w:p>
    <w:p w14:paraId="6BAEB21B">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2.参赛队伍有发生重大安全事故隐患，经赛场工作人员提示、警告无效的，可取消其继续比赛的资格。 </w:t>
      </w:r>
    </w:p>
    <w:p w14:paraId="27F3B078">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3.赛事工作人员违规的，按照相应的制度追究责任。情节恶劣并造成重大安全事故的，由司法机关追究相应法律责任。 </w:t>
      </w:r>
    </w:p>
    <w:p w14:paraId="4AC5AC68">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bCs/>
          <w:color w:val="000000"/>
          <w:kern w:val="0"/>
          <w:sz w:val="28"/>
          <w:szCs w:val="28"/>
          <w:lang w:bidi="ar"/>
        </w:rPr>
        <w:t xml:space="preserve">（五）大赛突发安全事故应急预案 </w:t>
      </w:r>
    </w:p>
    <w:p w14:paraId="1C73F032">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1.重大火灾事故 </w:t>
      </w:r>
    </w:p>
    <w:p w14:paraId="26D25C8C">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（1）大赛赛场或人员密集场所一旦发生火险后，在场人员应立即报告应急领导小组，并同时拨打 119 报警，及时疏散在场人员有序撤到安全地带，安排做好消防人员车辆迎候。 </w:t>
      </w:r>
    </w:p>
    <w:p w14:paraId="6F352B0B">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（2）如果发生火灾后，在场人员应避免过度惊慌、盲目乱跑，应按照疏散指示标志、出口通道提示有序逃生，逃生时不可互相拥挤、 推搡，不乱喊乱叫。 </w:t>
      </w:r>
    </w:p>
    <w:p w14:paraId="65C12A13">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（3）请全体人员在进入人员密集场所时，及时了解应急疏散通道的位置和逃生通道，掌握使用灭火器材方法，不要堵塞消防通道。 </w:t>
      </w:r>
    </w:p>
    <w:p w14:paraId="3E77F617">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（4）一旦火险发生后，人员疏散场地为学校操场，安排专人进行现场秩序疏导和维护。 </w:t>
      </w:r>
    </w:p>
    <w:p w14:paraId="1B28AC5F">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2.重大交通安全事故 </w:t>
      </w:r>
    </w:p>
    <w:p w14:paraId="02696E17">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（1）指挥参赛学生紧急集合疏散至安全地段，迅速将事故信息上报大赛突发安全事故应急领导小组。 </w:t>
      </w:r>
    </w:p>
    <w:p w14:paraId="21B116F7">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（2）要迅速抢救受伤师生，在最短时间内将受伤师生送到就近或指定医院救治，根据情节分别及时报警 110、120 请求援助，并保护好事故现场。 </w:t>
      </w:r>
    </w:p>
    <w:p w14:paraId="21CAB476">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（3）采取有效措施，做好善后处置工作。 </w:t>
      </w:r>
    </w:p>
    <w:p w14:paraId="7879DC38">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3.食物中毒安全事故 </w:t>
      </w:r>
    </w:p>
    <w:p w14:paraId="760249E0">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（1）立即停止配餐餐厅的经营活动，及时向大赛突发安全事故应急领导小组及卫生防疫部门报告，根据情节分别及时报警110、120请求援助。 </w:t>
      </w:r>
    </w:p>
    <w:p w14:paraId="50D90831">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（2）积极协助卫生机构救助病人，需要时协助转送指定医院治疗。</w:t>
      </w:r>
    </w:p>
    <w:p w14:paraId="311C1658">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（3）封存造成食物中毒或可能导致食物中毒的食品和原料、工具、设备和现场。 </w:t>
      </w:r>
    </w:p>
    <w:p w14:paraId="1D91FFF1">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（4）配合卫生防疫部门的调查，如实提供有关材料和样品。 </w:t>
      </w:r>
    </w:p>
    <w:p w14:paraId="05148F74">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（5）采取有效措施，做好善后处置工作。 </w:t>
      </w:r>
    </w:p>
    <w:p w14:paraId="00D012E3">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4.用电安全事故 </w:t>
      </w:r>
    </w:p>
    <w:p w14:paraId="4971355A">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（1）发现触电事故时，首先应立即切断电源，并控制好大赛现场秩序。</w:t>
      </w:r>
    </w:p>
    <w:p w14:paraId="1718A1F4">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（2）对触电者视其情况，应采取有效措施，当场联系现场医护人员实行应急救护，严重者及时拨打 120 请求救援，协助转送附近医院。</w:t>
      </w:r>
    </w:p>
    <w:p w14:paraId="2709CDEE">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（3）迅速将事故信息上报大赛突发安全事故应急领导小组。 </w:t>
      </w:r>
    </w:p>
    <w:p w14:paraId="3E2DF775">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（4）采取有效措施，做好善后处置工作。 </w:t>
      </w:r>
    </w:p>
    <w:p w14:paraId="047B0EBC">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5.医疗紧急病情救治</w:t>
      </w:r>
    </w:p>
    <w:p w14:paraId="7FF103DB">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（1）大赛场地要做到干净、整洁，场馆内要保持空气流通，预防呼吸道传染病的发生。 </w:t>
      </w:r>
    </w:p>
    <w:p w14:paraId="5C2DE649">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（2）建立应急快速反应机制，由专人负责购置必要的急救药品在大赛期间预备使用。如遇特殊情况实施必要的急救措施，并及时与120 急救中心联系送往医院救治。 </w:t>
      </w:r>
    </w:p>
    <w:p w14:paraId="67E876ED">
      <w:pPr>
        <w:widowControl/>
        <w:spacing w:before="0" w:after="0" w:line="540" w:lineRule="exact"/>
        <w:ind w:left="0" w:right="0" w:firstLine="280" w:firstLineChars="1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（3）为了预防流行性病毒的传播，大赛期间设立隔离室，一旦发现疑似症状应以最快的速度进行隔离，排查病情并及时上报大赛突发安全事故应急领导小组。</w:t>
      </w:r>
    </w:p>
    <w:p w14:paraId="5C275E54">
      <w:pPr>
        <w:widowControl/>
        <w:spacing w:before="0" w:after="0" w:line="540" w:lineRule="exact"/>
        <w:ind w:left="0" w:right="0" w:firstLine="560"/>
        <w:jc w:val="both"/>
        <w:outlineLvl w:val="0"/>
        <w:rPr>
          <w:rFonts w:hint="eastAsia" w:ascii="仿宋" w:hAnsi="仿宋" w:eastAsia="仿宋" w:cs="仿宋"/>
          <w:b/>
          <w:kern w:val="0"/>
          <w:sz w:val="28"/>
          <w:szCs w:val="28"/>
        </w:rPr>
      </w:pPr>
      <w:bookmarkStart w:id="18" w:name="_Toc796488101"/>
      <w:r>
        <w:rPr>
          <w:rFonts w:hint="eastAsia" w:ascii="黑体" w:hAnsi="黑体" w:eastAsia="黑体" w:cs="黑体"/>
          <w:b w:val="0"/>
          <w:sz w:val="28"/>
          <w:szCs w:val="28"/>
          <w:lang w:eastAsia="zh-Hans"/>
        </w:rPr>
        <w:t>十五、</w:t>
      </w:r>
      <w:r>
        <w:rPr>
          <w:rFonts w:hint="eastAsia" w:ascii="黑体" w:hAnsi="黑体" w:eastAsia="黑体" w:cs="黑体"/>
          <w:b w:val="0"/>
          <w:sz w:val="28"/>
          <w:szCs w:val="28"/>
        </w:rPr>
        <w:t>赛项须知</w:t>
      </w:r>
      <w:bookmarkEnd w:id="18"/>
    </w:p>
    <w:p w14:paraId="6D5A9C7F">
      <w:pPr>
        <w:adjustRightInd w:val="0"/>
        <w:snapToGrid w:val="0"/>
        <w:spacing w:before="0" w:after="0" w:line="540" w:lineRule="exact"/>
        <w:ind w:left="0" w:right="0" w:firstLine="560"/>
        <w:jc w:val="both"/>
        <w:rPr>
          <w:rFonts w:hint="eastAsia" w:ascii="仿宋" w:hAnsi="仿宋" w:eastAsia="仿宋" w:cs="仿宋"/>
          <w:bCs/>
          <w:sz w:val="28"/>
          <w:szCs w:val="28"/>
        </w:rPr>
      </w:pPr>
      <w:r>
        <w:rPr>
          <w:rFonts w:hint="eastAsia" w:ascii="楷体_GB2312" w:hAnsi="楷体_GB2312" w:eastAsia="楷体_GB2312" w:cs="楷体_GB2312"/>
          <w:b/>
          <w:bCs/>
          <w:sz w:val="28"/>
          <w:szCs w:val="28"/>
        </w:rPr>
        <w:t>（一）参赛队须知</w:t>
      </w:r>
    </w:p>
    <w:p w14:paraId="4832A820">
      <w:pPr>
        <w:pStyle w:val="17"/>
        <w:adjustRightInd w:val="0"/>
        <w:snapToGrid w:val="0"/>
        <w:spacing w:before="0" w:after="0" w:line="540" w:lineRule="exact"/>
        <w:ind w:left="0" w:right="0" w:firstLine="568" w:firstLineChars="202"/>
        <w:jc w:val="both"/>
        <w:rPr>
          <w:rFonts w:hint="eastAsia" w:ascii="仿宋" w:hAnsi="仿宋" w:eastAsia="仿宋" w:cs="仿宋"/>
          <w:sz w:val="28"/>
          <w:szCs w:val="28"/>
        </w:rPr>
      </w:pPr>
      <w:r>
        <w:rPr>
          <w:rFonts w:hint="eastAsia" w:ascii="仿宋_GB2312" w:hAnsi="仿宋_GB2312" w:eastAsia="仿宋_GB2312" w:cs="仿宋_GB2312"/>
          <w:b/>
          <w:sz w:val="28"/>
          <w:szCs w:val="28"/>
        </w:rPr>
        <w:t>1.参赛队员应自觉遵守赛场纪律，服从裁判、听从指挥、</w:t>
      </w:r>
      <w:r>
        <w:rPr>
          <w:rFonts w:hint="eastAsia" w:ascii="仿宋_GB2312" w:hAnsi="仿宋_GB2312" w:eastAsia="仿宋_GB2312" w:cs="仿宋_GB2312"/>
          <w:b/>
          <w:kern w:val="0"/>
          <w:sz w:val="28"/>
          <w:szCs w:val="28"/>
        </w:rPr>
        <w:t>文明竞赛；持证进入赛场，禁止将通讯工具、自编电子或文字资料带入赛场。</w:t>
      </w:r>
    </w:p>
    <w:p w14:paraId="5A68B45B">
      <w:pPr>
        <w:pStyle w:val="17"/>
        <w:adjustRightInd w:val="0"/>
        <w:snapToGrid w:val="0"/>
        <w:spacing w:before="0" w:after="0" w:line="540" w:lineRule="exact"/>
        <w:ind w:left="0" w:right="0" w:firstLine="568" w:firstLineChars="202"/>
        <w:jc w:val="both"/>
        <w:rPr>
          <w:rFonts w:hint="eastAsia" w:ascii="仿宋" w:hAnsi="仿宋" w:eastAsia="仿宋" w:cs="仿宋"/>
          <w:sz w:val="28"/>
          <w:szCs w:val="28"/>
        </w:rPr>
      </w:pPr>
      <w:r>
        <w:rPr>
          <w:rFonts w:hint="eastAsia" w:ascii="仿宋_GB2312" w:hAnsi="仿宋_GB2312" w:eastAsia="仿宋_GB2312" w:cs="仿宋_GB2312"/>
          <w:b/>
          <w:sz w:val="28"/>
          <w:szCs w:val="28"/>
        </w:rPr>
        <w:t>2.参赛队在进入现场之前需完成分工。</w:t>
      </w:r>
    </w:p>
    <w:p w14:paraId="7DDBF400">
      <w:pPr>
        <w:pStyle w:val="17"/>
        <w:adjustRightInd w:val="0"/>
        <w:snapToGrid w:val="0"/>
        <w:spacing w:before="0" w:after="0" w:line="540" w:lineRule="exact"/>
        <w:ind w:left="0" w:right="0" w:firstLine="568" w:firstLineChars="202"/>
        <w:jc w:val="both"/>
        <w:rPr>
          <w:rFonts w:hint="eastAsia" w:ascii="仿宋" w:hAnsi="仿宋" w:eastAsia="仿宋" w:cs="仿宋"/>
          <w:sz w:val="28"/>
          <w:szCs w:val="28"/>
        </w:rPr>
      </w:pPr>
      <w:r>
        <w:rPr>
          <w:rFonts w:hint="eastAsia" w:ascii="仿宋_GB2312" w:hAnsi="仿宋_GB2312" w:eastAsia="仿宋_GB2312" w:cs="仿宋_GB2312"/>
          <w:b/>
          <w:sz w:val="28"/>
          <w:szCs w:val="28"/>
        </w:rPr>
        <w:t>3.比赛过程中，参赛选手须严格遵守操作过程和相关准则，保证设备及人身安全，并接受裁判员的监督和警示；若因设备故障导致选手中断或终止比赛，由大赛裁判长视具体情况做出裁决。</w:t>
      </w:r>
    </w:p>
    <w:p w14:paraId="7A2CA83F">
      <w:pPr>
        <w:pStyle w:val="17"/>
        <w:adjustRightInd w:val="0"/>
        <w:snapToGrid w:val="0"/>
        <w:spacing w:before="0" w:after="0" w:line="540" w:lineRule="exact"/>
        <w:ind w:left="0" w:right="0" w:firstLine="568" w:firstLineChars="202"/>
        <w:jc w:val="both"/>
        <w:rPr>
          <w:rFonts w:hint="eastAsia" w:ascii="仿宋" w:hAnsi="仿宋" w:eastAsia="仿宋" w:cs="仿宋"/>
          <w:sz w:val="28"/>
          <w:szCs w:val="28"/>
        </w:rPr>
      </w:pPr>
      <w:r>
        <w:rPr>
          <w:rFonts w:hint="eastAsia" w:ascii="仿宋_GB2312" w:hAnsi="仿宋_GB2312" w:eastAsia="仿宋_GB2312" w:cs="仿宋_GB2312"/>
          <w:b/>
          <w:sz w:val="28"/>
          <w:szCs w:val="28"/>
        </w:rPr>
        <w:t xml:space="preserve">4.在比赛过程中，参赛选手由于操作失误导致设备不能正常工作，或造成安全事故不能进行比赛的，将被终止比赛。 </w:t>
      </w:r>
    </w:p>
    <w:p w14:paraId="1E3F69A8">
      <w:pPr>
        <w:pStyle w:val="17"/>
        <w:adjustRightInd w:val="0"/>
        <w:snapToGrid w:val="0"/>
        <w:spacing w:before="0" w:after="0" w:line="540" w:lineRule="exact"/>
        <w:ind w:left="0" w:right="0" w:firstLine="568" w:firstLineChars="202"/>
        <w:jc w:val="both"/>
        <w:rPr>
          <w:rFonts w:hint="eastAsia" w:ascii="仿宋" w:hAnsi="仿宋" w:eastAsia="仿宋" w:cs="仿宋"/>
          <w:sz w:val="28"/>
          <w:szCs w:val="28"/>
        </w:rPr>
      </w:pPr>
      <w:r>
        <w:rPr>
          <w:rFonts w:hint="eastAsia" w:ascii="仿宋_GB2312" w:hAnsi="仿宋_GB2312" w:eastAsia="仿宋_GB2312" w:cs="仿宋_GB2312"/>
          <w:b/>
          <w:sz w:val="28"/>
          <w:szCs w:val="28"/>
        </w:rPr>
        <w:t xml:space="preserve">5.在比赛过程中，各参赛选手限定在自己的工作区域和岗位完成比赛任务。 </w:t>
      </w:r>
    </w:p>
    <w:p w14:paraId="01C513BF">
      <w:pPr>
        <w:pStyle w:val="17"/>
        <w:adjustRightInd w:val="0"/>
        <w:snapToGrid w:val="0"/>
        <w:spacing w:before="0" w:after="0" w:line="540" w:lineRule="exact"/>
        <w:ind w:left="0" w:right="0" w:firstLine="568" w:firstLineChars="202"/>
        <w:jc w:val="both"/>
        <w:rPr>
          <w:rFonts w:hint="eastAsia" w:ascii="仿宋" w:hAnsi="仿宋" w:eastAsia="仿宋" w:cs="仿宋"/>
          <w:sz w:val="28"/>
          <w:szCs w:val="28"/>
        </w:rPr>
      </w:pPr>
      <w:r>
        <w:rPr>
          <w:rFonts w:hint="eastAsia" w:ascii="仿宋_GB2312" w:hAnsi="仿宋_GB2312" w:eastAsia="仿宋_GB2312" w:cs="仿宋_GB2312"/>
          <w:b/>
          <w:sz w:val="28"/>
          <w:szCs w:val="28"/>
        </w:rPr>
        <w:t>6.若参赛队欲提前结束比赛，应向裁判员举手示意，比赛终止时间由裁判员记录，参赛队结束比赛后不得再进行任何操作。</w:t>
      </w:r>
    </w:p>
    <w:p w14:paraId="00934555">
      <w:pPr>
        <w:adjustRightInd w:val="0"/>
        <w:snapToGrid w:val="0"/>
        <w:spacing w:before="0" w:after="0" w:line="540" w:lineRule="exact"/>
        <w:ind w:left="0" w:right="0" w:firstLine="560"/>
        <w:jc w:val="both"/>
        <w:rPr>
          <w:rFonts w:hint="eastAsia" w:ascii="仿宋" w:hAnsi="仿宋" w:eastAsia="仿宋" w:cs="仿宋"/>
          <w:bCs/>
          <w:sz w:val="28"/>
          <w:szCs w:val="28"/>
        </w:rPr>
      </w:pPr>
      <w:r>
        <w:rPr>
          <w:rFonts w:hint="eastAsia" w:ascii="楷体_GB2312" w:hAnsi="楷体_GB2312" w:eastAsia="楷体_GB2312" w:cs="楷体_GB2312"/>
          <w:b/>
          <w:bCs/>
          <w:sz w:val="28"/>
          <w:szCs w:val="28"/>
        </w:rPr>
        <w:t>（二）指导教师须知</w:t>
      </w:r>
    </w:p>
    <w:p w14:paraId="2CD7712D">
      <w:pPr>
        <w:widowControl/>
        <w:adjustRightInd w:val="0"/>
        <w:snapToGrid w:val="0"/>
        <w:spacing w:before="0" w:after="0" w:line="540" w:lineRule="exact"/>
        <w:ind w:left="0" w:right="0" w:firstLine="562" w:firstLineChars="200"/>
        <w:jc w:val="both"/>
        <w:rPr>
          <w:rFonts w:hint="eastAsia" w:ascii="仿宋" w:hAnsi="仿宋" w:eastAsia="仿宋" w:cs="仿宋"/>
          <w:kern w:val="0"/>
          <w:sz w:val="28"/>
          <w:szCs w:val="28"/>
        </w:rPr>
      </w:pPr>
      <w:r>
        <w:rPr>
          <w:rFonts w:hint="eastAsia" w:ascii="仿宋_GB2312" w:hAnsi="仿宋_GB2312" w:eastAsia="仿宋_GB2312" w:cs="仿宋_GB2312"/>
          <w:b/>
          <w:kern w:val="0"/>
          <w:sz w:val="28"/>
          <w:szCs w:val="28"/>
        </w:rPr>
        <w:t>1</w:t>
      </w:r>
      <w:r>
        <w:rPr>
          <w:rFonts w:hint="eastAsia" w:ascii="仿宋_GB2312" w:hAnsi="仿宋_GB2312" w:eastAsia="仿宋_GB2312" w:cs="仿宋_GB2312"/>
          <w:b/>
          <w:sz w:val="28"/>
          <w:szCs w:val="28"/>
        </w:rPr>
        <w:t>.</w:t>
      </w:r>
      <w:r>
        <w:rPr>
          <w:rFonts w:hint="eastAsia" w:ascii="仿宋_GB2312" w:hAnsi="仿宋_GB2312" w:eastAsia="仿宋_GB2312" w:cs="仿宋_GB2312"/>
          <w:b/>
          <w:kern w:val="0"/>
          <w:sz w:val="28"/>
          <w:szCs w:val="28"/>
        </w:rPr>
        <w:t>指导教师经报名、审核后确定，一经确定不得更换。允许指导教师缺席比赛。</w:t>
      </w:r>
      <w:r>
        <w:rPr>
          <w:rFonts w:hint="eastAsia" w:ascii="仿宋_GB2312" w:hAnsi="仿宋_GB2312" w:eastAsia="仿宋_GB2312" w:cs="仿宋_GB2312"/>
          <w:b/>
          <w:sz w:val="28"/>
          <w:szCs w:val="28"/>
        </w:rPr>
        <w:t xml:space="preserve"> </w:t>
      </w:r>
    </w:p>
    <w:p w14:paraId="601D84A9">
      <w:pPr>
        <w:pStyle w:val="17"/>
        <w:adjustRightInd w:val="0"/>
        <w:snapToGrid w:val="0"/>
        <w:spacing w:before="0" w:after="0" w:line="540" w:lineRule="exact"/>
        <w:ind w:left="0" w:right="0" w:firstLine="568" w:firstLineChars="202"/>
        <w:jc w:val="both"/>
        <w:rPr>
          <w:rFonts w:hint="eastAsia" w:ascii="仿宋" w:hAnsi="仿宋" w:eastAsia="仿宋" w:cs="仿宋"/>
          <w:sz w:val="28"/>
          <w:szCs w:val="28"/>
        </w:rPr>
      </w:pPr>
      <w:r>
        <w:rPr>
          <w:rFonts w:hint="eastAsia" w:ascii="仿宋_GB2312" w:hAnsi="仿宋_GB2312" w:eastAsia="仿宋_GB2312" w:cs="仿宋_GB2312"/>
          <w:b/>
          <w:sz w:val="28"/>
          <w:szCs w:val="28"/>
        </w:rPr>
        <w:t>2.指导教师在进入比赛现场时应遵守赛场管理须知和赛场纪律。</w:t>
      </w:r>
    </w:p>
    <w:p w14:paraId="677732BA">
      <w:pPr>
        <w:adjustRightInd w:val="0"/>
        <w:snapToGrid w:val="0"/>
        <w:spacing w:before="0" w:after="0" w:line="540" w:lineRule="exact"/>
        <w:ind w:left="0" w:right="0" w:firstLine="560"/>
        <w:jc w:val="both"/>
        <w:rPr>
          <w:rFonts w:hint="eastAsia" w:ascii="仿宋" w:hAnsi="仿宋" w:eastAsia="仿宋" w:cs="仿宋"/>
          <w:bCs/>
          <w:sz w:val="28"/>
          <w:szCs w:val="28"/>
        </w:rPr>
      </w:pPr>
      <w:r>
        <w:rPr>
          <w:rFonts w:hint="eastAsia" w:ascii="楷体_GB2312" w:hAnsi="楷体_GB2312" w:eastAsia="楷体_GB2312" w:cs="楷体_GB2312"/>
          <w:b/>
          <w:bCs/>
          <w:sz w:val="28"/>
          <w:szCs w:val="28"/>
        </w:rPr>
        <w:t>（三）竞赛选手须知</w:t>
      </w:r>
    </w:p>
    <w:p w14:paraId="62E1FE4F">
      <w:pPr>
        <w:adjustRightInd w:val="0"/>
        <w:snapToGrid w:val="0"/>
        <w:spacing w:before="0" w:after="0" w:line="540" w:lineRule="exact"/>
        <w:ind w:left="0" w:right="0" w:firstLine="566" w:firstLineChars="200"/>
        <w:jc w:val="both"/>
        <w:rPr>
          <w:rFonts w:hint="eastAsia" w:ascii="仿宋" w:hAnsi="仿宋" w:eastAsia="仿宋" w:cs="仿宋"/>
          <w:sz w:val="28"/>
          <w:szCs w:val="28"/>
        </w:rPr>
      </w:pPr>
      <w:r>
        <w:rPr>
          <w:rFonts w:hint="eastAsia" w:ascii="仿宋_GB2312" w:hAnsi="仿宋_GB2312" w:eastAsia="仿宋_GB2312" w:cs="仿宋_GB2312"/>
          <w:b/>
          <w:spacing w:val="1"/>
          <w:sz w:val="28"/>
          <w:szCs w:val="28"/>
        </w:rPr>
        <w:t>1</w:t>
      </w:r>
      <w:r>
        <w:rPr>
          <w:rFonts w:hint="eastAsia" w:ascii="仿宋_GB2312" w:hAnsi="仿宋_GB2312" w:eastAsia="仿宋_GB2312" w:cs="仿宋_GB2312"/>
          <w:b/>
          <w:sz w:val="28"/>
          <w:szCs w:val="28"/>
        </w:rPr>
        <w:t>.</w:t>
      </w:r>
      <w:r>
        <w:rPr>
          <w:rFonts w:hint="eastAsia" w:ascii="仿宋_GB2312" w:hAnsi="仿宋_GB2312" w:eastAsia="仿宋_GB2312" w:cs="仿宋_GB2312"/>
          <w:b/>
          <w:spacing w:val="1"/>
          <w:sz w:val="28"/>
          <w:szCs w:val="28"/>
        </w:rPr>
        <w:t>严格遵守技能竞赛规则、技能竞赛纪律和安全操作规程</w:t>
      </w:r>
      <w:r>
        <w:rPr>
          <w:rFonts w:hint="eastAsia" w:ascii="仿宋_GB2312" w:hAnsi="仿宋_GB2312" w:eastAsia="仿宋_GB2312" w:cs="仿宋_GB2312"/>
          <w:b/>
          <w:sz w:val="28"/>
          <w:szCs w:val="28"/>
        </w:rPr>
        <w:t>，尊重裁判和赛场工作人员，自觉维护赛场秩序。</w:t>
      </w:r>
    </w:p>
    <w:p w14:paraId="12E5F664">
      <w:pPr>
        <w:adjustRightInd w:val="0"/>
        <w:snapToGrid w:val="0"/>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spacing w:val="1"/>
          <w:sz w:val="28"/>
          <w:szCs w:val="28"/>
        </w:rPr>
        <w:t>2</w:t>
      </w:r>
      <w:r>
        <w:rPr>
          <w:rFonts w:hint="eastAsia" w:ascii="仿宋_GB2312" w:hAnsi="仿宋_GB2312" w:eastAsia="仿宋_GB2312" w:cs="仿宋_GB2312"/>
          <w:b/>
          <w:sz w:val="28"/>
          <w:szCs w:val="28"/>
        </w:rPr>
        <w:t>.佩带参赛证件及着工装进入比赛场地，并接受裁判员的检查。</w:t>
      </w:r>
    </w:p>
    <w:p w14:paraId="1B2A1E11">
      <w:pPr>
        <w:adjustRightInd w:val="0"/>
        <w:snapToGrid w:val="0"/>
        <w:spacing w:before="0" w:after="0" w:line="540" w:lineRule="exact"/>
        <w:ind w:left="0" w:right="0" w:firstLine="560"/>
        <w:jc w:val="both"/>
        <w:rPr>
          <w:rFonts w:hint="eastAsia" w:ascii="仿宋" w:hAnsi="仿宋" w:eastAsia="仿宋" w:cs="仿宋"/>
          <w:spacing w:val="1"/>
          <w:sz w:val="28"/>
          <w:szCs w:val="28"/>
        </w:rPr>
      </w:pPr>
      <w:r>
        <w:rPr>
          <w:rFonts w:hint="eastAsia" w:ascii="仿宋_GB2312" w:hAnsi="仿宋_GB2312" w:eastAsia="仿宋_GB2312" w:cs="仿宋_GB2312"/>
          <w:b/>
          <w:spacing w:val="1"/>
          <w:sz w:val="28"/>
          <w:szCs w:val="28"/>
        </w:rPr>
        <w:t>3</w:t>
      </w:r>
      <w:r>
        <w:rPr>
          <w:rFonts w:hint="eastAsia" w:ascii="仿宋_GB2312" w:hAnsi="仿宋_GB2312" w:eastAsia="仿宋_GB2312" w:cs="仿宋_GB2312"/>
          <w:b/>
          <w:sz w:val="28"/>
          <w:szCs w:val="28"/>
        </w:rPr>
        <w:t>.</w:t>
      </w:r>
      <w:r>
        <w:rPr>
          <w:rFonts w:hint="eastAsia" w:ascii="仿宋_GB2312" w:hAnsi="仿宋_GB2312" w:eastAsia="仿宋_GB2312" w:cs="仿宋_GB2312"/>
          <w:b/>
          <w:spacing w:val="1"/>
          <w:sz w:val="28"/>
          <w:szCs w:val="28"/>
        </w:rPr>
        <w:t>进入赛场前须将手机等通讯工具交赛场相关人员妥善保管。</w:t>
      </w:r>
    </w:p>
    <w:p w14:paraId="39D02D72">
      <w:pPr>
        <w:adjustRightInd w:val="0"/>
        <w:snapToGrid w:val="0"/>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spacing w:val="1"/>
          <w:sz w:val="28"/>
          <w:szCs w:val="28"/>
        </w:rPr>
        <w:t>4</w:t>
      </w:r>
      <w:r>
        <w:rPr>
          <w:rFonts w:hint="eastAsia" w:ascii="仿宋_GB2312" w:hAnsi="仿宋_GB2312" w:eastAsia="仿宋_GB2312" w:cs="仿宋_GB2312"/>
          <w:b/>
          <w:sz w:val="28"/>
          <w:szCs w:val="28"/>
        </w:rPr>
        <w:t>.竞赛过程中不准擅自离开赛场。</w:t>
      </w:r>
    </w:p>
    <w:p w14:paraId="026C3BE5">
      <w:pPr>
        <w:adjustRightInd w:val="0"/>
        <w:snapToGrid w:val="0"/>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spacing w:val="1"/>
          <w:sz w:val="28"/>
          <w:szCs w:val="28"/>
        </w:rPr>
        <w:t>5</w:t>
      </w:r>
      <w:r>
        <w:rPr>
          <w:rFonts w:hint="eastAsia" w:ascii="仿宋_GB2312" w:hAnsi="仿宋_GB2312" w:eastAsia="仿宋_GB2312" w:cs="仿宋_GB2312"/>
          <w:b/>
          <w:sz w:val="28"/>
          <w:szCs w:val="28"/>
        </w:rPr>
        <w:t>.竞赛完成后必须按裁判要求迅速离开赛场，不得在赛场内滞留。</w:t>
      </w:r>
    </w:p>
    <w:p w14:paraId="0D426CA1">
      <w:pPr>
        <w:adjustRightInd w:val="0"/>
        <w:snapToGrid w:val="0"/>
        <w:spacing w:before="0" w:after="0" w:line="540" w:lineRule="exact"/>
        <w:ind w:left="0" w:right="0" w:firstLine="560"/>
        <w:jc w:val="both"/>
        <w:rPr>
          <w:rFonts w:hint="eastAsia" w:ascii="仿宋" w:hAnsi="仿宋" w:eastAsia="仿宋" w:cs="仿宋"/>
          <w:sz w:val="28"/>
          <w:szCs w:val="28"/>
        </w:rPr>
      </w:pPr>
      <w:r>
        <w:rPr>
          <w:rFonts w:hint="eastAsia" w:ascii="仿宋_GB2312" w:hAnsi="仿宋_GB2312" w:eastAsia="仿宋_GB2312" w:cs="仿宋_GB2312"/>
          <w:b/>
          <w:spacing w:val="1"/>
          <w:sz w:val="28"/>
          <w:szCs w:val="28"/>
        </w:rPr>
        <w:t>6</w:t>
      </w:r>
      <w:r>
        <w:rPr>
          <w:rFonts w:hint="eastAsia" w:ascii="仿宋_GB2312" w:hAnsi="仿宋_GB2312" w:eastAsia="仿宋_GB2312" w:cs="仿宋_GB2312"/>
          <w:b/>
          <w:sz w:val="28"/>
          <w:szCs w:val="28"/>
        </w:rPr>
        <w:t>.竞赛结束时间到达，应立即停止编制计划和操作，不得拖延竞赛时间。</w:t>
      </w:r>
    </w:p>
    <w:p w14:paraId="484E04F4">
      <w:pPr>
        <w:adjustRightInd w:val="0"/>
        <w:snapToGrid w:val="0"/>
        <w:spacing w:before="0" w:after="0" w:line="540" w:lineRule="exact"/>
        <w:ind w:left="0" w:right="0" w:firstLine="566" w:firstLineChars="200"/>
        <w:jc w:val="both"/>
        <w:rPr>
          <w:rFonts w:hint="eastAsia" w:ascii="仿宋" w:hAnsi="仿宋" w:eastAsia="仿宋" w:cs="仿宋"/>
          <w:sz w:val="28"/>
          <w:szCs w:val="28"/>
        </w:rPr>
      </w:pPr>
      <w:r>
        <w:rPr>
          <w:rFonts w:hint="eastAsia" w:ascii="仿宋_GB2312" w:hAnsi="仿宋_GB2312" w:eastAsia="仿宋_GB2312" w:cs="仿宋_GB2312"/>
          <w:b/>
          <w:spacing w:val="1"/>
          <w:sz w:val="28"/>
          <w:szCs w:val="28"/>
        </w:rPr>
        <w:t>7</w:t>
      </w:r>
      <w:r>
        <w:rPr>
          <w:rFonts w:hint="eastAsia" w:ascii="仿宋_GB2312" w:hAnsi="仿宋_GB2312" w:eastAsia="仿宋_GB2312" w:cs="仿宋_GB2312"/>
          <w:b/>
          <w:sz w:val="28"/>
          <w:szCs w:val="28"/>
        </w:rPr>
        <w:t>.爱护竞赛场所的设备、仪器等，不得人为损坏竞赛用仪器设备。</w:t>
      </w:r>
    </w:p>
    <w:p w14:paraId="7420D267">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8.选手在编制计划时，可允许队长1人到现场进行测量，到现场测量必须有裁判陪同，途中不得与人交谈。否则，取消比赛资格。</w:t>
      </w:r>
    </w:p>
    <w:p w14:paraId="2A34BF2B">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9.参赛选手报到后，应注明队长身份，队长身份应保持竞赛始终，中途不可更换。若队长缺席，可临时指定负责人。</w:t>
      </w:r>
    </w:p>
    <w:p w14:paraId="449690F0">
      <w:pPr>
        <w:adjustRightInd w:val="0"/>
        <w:snapToGrid w:val="0"/>
        <w:spacing w:before="0" w:after="0" w:line="540" w:lineRule="exact"/>
        <w:ind w:left="0" w:right="0" w:firstLine="560"/>
        <w:jc w:val="both"/>
        <w:rPr>
          <w:rFonts w:hint="eastAsia" w:ascii="仿宋" w:hAnsi="仿宋" w:eastAsia="仿宋" w:cs="仿宋"/>
          <w:bCs/>
          <w:sz w:val="28"/>
          <w:szCs w:val="28"/>
        </w:rPr>
      </w:pPr>
      <w:r>
        <w:rPr>
          <w:rFonts w:hint="eastAsia" w:ascii="楷体_GB2312" w:hAnsi="楷体_GB2312" w:eastAsia="楷体_GB2312" w:cs="楷体_GB2312"/>
          <w:b/>
          <w:bCs/>
          <w:sz w:val="28"/>
          <w:szCs w:val="28"/>
        </w:rPr>
        <w:t>（四）赛场管理须知</w:t>
      </w:r>
    </w:p>
    <w:p w14:paraId="5F43297E">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1.选手凭有效证件，按时参加竞赛，如不能按时参赛以自动弃权处理。</w:t>
      </w:r>
    </w:p>
    <w:p w14:paraId="2E9BAC9A">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2.若有选手开赛迟到，迟到时间连续计入比赛时间里换成相应成本。迟到超过20分钟，则视为弃权处理，开赛后未经允许不得擅自离开赛场。</w:t>
      </w:r>
    </w:p>
    <w:p w14:paraId="25396404">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3.选手进入赛场后到指定参赛地点准备竞赛。</w:t>
      </w:r>
    </w:p>
    <w:p w14:paraId="25BEBFA7">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4.选手在开赛信号发出后才能进行技能竞赛。</w:t>
      </w:r>
    </w:p>
    <w:p w14:paraId="21CB271D">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5.竞赛过程中，选手要严格按操作规程操作，若违反操作规程，取消竞赛资格。</w:t>
      </w:r>
    </w:p>
    <w:p w14:paraId="09A834EB">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6.不允许将通讯工具带入赛场，如私自带入者，一经发现取消竞赛资格。</w:t>
      </w:r>
    </w:p>
    <w:p w14:paraId="1502C363">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7.选手提问，经允许后，可以提问不清楚的问题，裁判人员须正面回答。</w:t>
      </w:r>
    </w:p>
    <w:p w14:paraId="260E604B">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8.赛场内保持安静，不准吸烟。</w:t>
      </w:r>
    </w:p>
    <w:p w14:paraId="1090E0FC">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9.竞赛过程中，选手休息、饮水或去洗手间等所用时间，一律计算在操作时间内，饮用水由赛场统一准备。</w:t>
      </w:r>
    </w:p>
    <w:p w14:paraId="2113DED1">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10.如果选手提前结束竞赛，应向裁判员示意，竞赛终止时间由裁判员记录在案。</w:t>
      </w:r>
    </w:p>
    <w:p w14:paraId="1257C568">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11.竞赛终了信号发出后，须听从裁判员指挥，将选手证放在指定位置后，待裁判允许后方可离开赛场。</w:t>
      </w:r>
    </w:p>
    <w:p w14:paraId="4C3CD337">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12.赛务人员必须统一佩戴由大赛组委会签发的相应证件，着装整齐。</w:t>
      </w:r>
    </w:p>
    <w:p w14:paraId="547FB3CE">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13.各赛场除现场裁判、赛场配备的工作人员以外，其他人员未经允许不得进入赛场。</w:t>
      </w:r>
    </w:p>
    <w:p w14:paraId="4221C2F9">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14.新闻媒体等进入赛场必须经过大赛组委会允许，并且听从现场工作人员的安排和管理，不能影响竞赛进行。</w:t>
      </w:r>
    </w:p>
    <w:p w14:paraId="24419BD5">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15.各参赛队的领队、指导教师以及随行人员未经允许一律不得进入赛场。指导教师、参赛选手未经允许不得进入竞赛观摩区，经允许进入的，应遵守观摩规定和维护观摩秩序，若影响别人观摩，工作人员有权将其请出，并给予通报批评。</w:t>
      </w:r>
    </w:p>
    <w:p w14:paraId="0403F7E6">
      <w:pPr>
        <w:adjustRightInd w:val="0"/>
        <w:snapToGrid w:val="0"/>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sz w:val="28"/>
          <w:szCs w:val="28"/>
        </w:rPr>
        <w:t>16.负责各自赛区的裁判员和工作人员不得随意进入其它赛区。</w:t>
      </w:r>
    </w:p>
    <w:p w14:paraId="2749EAE7">
      <w:pPr>
        <w:adjustRightInd w:val="0"/>
        <w:snapToGrid w:val="0"/>
        <w:spacing w:before="0" w:after="0" w:line="540" w:lineRule="exact"/>
        <w:ind w:left="0" w:right="0" w:firstLine="560"/>
        <w:jc w:val="both"/>
        <w:outlineLvl w:val="0"/>
        <w:rPr>
          <w:rFonts w:hint="eastAsia" w:ascii="仿宋" w:hAnsi="仿宋" w:eastAsia="仿宋" w:cs="仿宋"/>
          <w:b/>
          <w:sz w:val="28"/>
          <w:szCs w:val="28"/>
        </w:rPr>
      </w:pPr>
      <w:bookmarkStart w:id="19" w:name="_Toc1309941756"/>
      <w:r>
        <w:rPr>
          <w:rFonts w:hint="eastAsia" w:ascii="黑体" w:hAnsi="黑体" w:eastAsia="黑体" w:cs="黑体"/>
          <w:b w:val="0"/>
          <w:sz w:val="28"/>
          <w:szCs w:val="28"/>
        </w:rPr>
        <w:t>十六、申诉与仲裁</w:t>
      </w:r>
      <w:bookmarkEnd w:id="19"/>
      <w:r>
        <w:rPr>
          <w:rFonts w:hint="eastAsia" w:ascii="黑体" w:hAnsi="黑体" w:eastAsia="黑体" w:cs="黑体"/>
          <w:b w:val="0"/>
          <w:sz w:val="28"/>
          <w:szCs w:val="28"/>
        </w:rPr>
        <w:t xml:space="preserve"> </w:t>
      </w:r>
    </w:p>
    <w:p w14:paraId="59C56A2C">
      <w:pPr>
        <w:adjustRightInd w:val="0"/>
        <w:snapToGrid w:val="0"/>
        <w:spacing w:before="0" w:after="0" w:line="540" w:lineRule="exact"/>
        <w:ind w:left="0" w:right="0" w:firstLine="560" w:firstLineChars="200"/>
        <w:jc w:val="both"/>
        <w:rPr>
          <w:rFonts w:hint="eastAsia" w:ascii="仿宋" w:hAnsi="仿宋" w:eastAsia="仿宋" w:cs="仿宋"/>
          <w:bCs/>
          <w:sz w:val="28"/>
          <w:szCs w:val="28"/>
        </w:rPr>
      </w:pPr>
      <w:r>
        <w:rPr>
          <w:rFonts w:hint="eastAsia" w:ascii="仿宋_GB2312" w:hAnsi="仿宋_GB2312" w:eastAsia="仿宋_GB2312" w:cs="仿宋_GB2312"/>
          <w:b w:val="0"/>
          <w:bCs w:val="0"/>
          <w:sz w:val="28"/>
          <w:szCs w:val="28"/>
        </w:rPr>
        <w:t>本赛项在比赛过程中若出现有失公正或有关人员违规等现象，参 赛队领队可在当日比赛结束后2小时内向监督仲裁组提出申诉。赛项 监督仲裁组在接到申诉后的2小时内组织复议，并及时反馈复议结果。申诉方对复议结果仍有异议，可由领队向赛区仲裁委员会提出申诉。赛区仲裁委员会的仲裁结果为最终结果。</w:t>
      </w:r>
    </w:p>
    <w:p w14:paraId="0586F40D">
      <w:pPr>
        <w:widowControl/>
        <w:spacing w:before="0" w:after="0" w:line="540" w:lineRule="exact"/>
        <w:ind w:left="0" w:right="0" w:firstLine="560"/>
        <w:jc w:val="both"/>
        <w:outlineLvl w:val="0"/>
        <w:rPr>
          <w:rFonts w:hint="eastAsia" w:ascii="仿宋" w:hAnsi="仿宋" w:eastAsia="仿宋" w:cs="仿宋"/>
          <w:b/>
          <w:bCs/>
          <w:color w:val="000000"/>
          <w:kern w:val="0"/>
          <w:sz w:val="28"/>
          <w:szCs w:val="28"/>
          <w:lang w:bidi="ar"/>
        </w:rPr>
      </w:pPr>
      <w:bookmarkStart w:id="20" w:name="_Toc188744048"/>
      <w:r>
        <w:rPr>
          <w:rFonts w:hint="eastAsia" w:ascii="黑体" w:hAnsi="黑体" w:eastAsia="黑体" w:cs="黑体"/>
          <w:b w:val="0"/>
          <w:bCs w:val="0"/>
          <w:color w:val="000000"/>
          <w:kern w:val="0"/>
          <w:sz w:val="28"/>
          <w:szCs w:val="28"/>
          <w:lang w:bidi="ar"/>
        </w:rPr>
        <w:t>十</w:t>
      </w:r>
      <w:r>
        <w:rPr>
          <w:rFonts w:hint="eastAsia" w:ascii="黑体" w:hAnsi="黑体" w:eastAsia="黑体" w:cs="黑体"/>
          <w:b w:val="0"/>
          <w:bCs w:val="0"/>
          <w:color w:val="000000"/>
          <w:kern w:val="0"/>
          <w:sz w:val="28"/>
          <w:szCs w:val="28"/>
          <w:lang w:eastAsia="zh-Hans" w:bidi="ar"/>
        </w:rPr>
        <w:t>七</w:t>
      </w:r>
      <w:r>
        <w:rPr>
          <w:rFonts w:hint="eastAsia" w:ascii="黑体" w:hAnsi="黑体" w:eastAsia="黑体" w:cs="黑体"/>
          <w:b w:val="0"/>
          <w:bCs w:val="0"/>
          <w:color w:val="000000"/>
          <w:kern w:val="0"/>
          <w:sz w:val="28"/>
          <w:szCs w:val="28"/>
          <w:lang w:bidi="ar"/>
        </w:rPr>
        <w:t>、资源转化</w:t>
      </w:r>
      <w:bookmarkEnd w:id="20"/>
      <w:r>
        <w:rPr>
          <w:rFonts w:hint="eastAsia" w:ascii="黑体" w:hAnsi="黑体" w:eastAsia="黑体" w:cs="黑体"/>
          <w:b w:val="0"/>
          <w:bCs w:val="0"/>
          <w:color w:val="000000"/>
          <w:kern w:val="0"/>
          <w:sz w:val="28"/>
          <w:szCs w:val="28"/>
          <w:lang w:bidi="ar"/>
        </w:rPr>
        <w:t xml:space="preserve"> </w:t>
      </w:r>
    </w:p>
    <w:p w14:paraId="3CD7C1B7">
      <w:pPr>
        <w:widowControl/>
        <w:spacing w:before="0" w:after="0" w:line="540" w:lineRule="exact"/>
        <w:ind w:left="0" w:right="0" w:firstLine="560" w:firstLineChars="200"/>
        <w:jc w:val="both"/>
        <w:outlineLvl w:val="0"/>
        <w:rPr>
          <w:rFonts w:hint="eastAsia" w:ascii="仿宋_GB2312" w:hAnsi="仿宋_GB2312" w:eastAsia="仿宋_GB2312" w:cs="仿宋_GB2312"/>
          <w:b w:val="0"/>
          <w:color w:val="000000"/>
          <w:kern w:val="0"/>
          <w:sz w:val="28"/>
          <w:szCs w:val="28"/>
          <w:lang w:bidi="ar"/>
        </w:rPr>
      </w:pPr>
      <w:r>
        <w:rPr>
          <w:rFonts w:hint="eastAsia" w:ascii="仿宋_GB2312" w:hAnsi="仿宋_GB2312" w:eastAsia="仿宋_GB2312" w:cs="仿宋_GB2312"/>
          <w:b w:val="0"/>
          <w:color w:val="000000"/>
          <w:kern w:val="0"/>
          <w:sz w:val="28"/>
          <w:szCs w:val="28"/>
          <w:lang w:bidi="ar"/>
        </w:rPr>
        <w:t>按照《全国职业院校技能大赛赛项资源转化工作办法》的有关要求，制定赛项赛后教学资源转化方案。基于大赛转化竞赛资源，建设物流技能训练教学资源库，助推物流行业发展与高职物流管理专业人才培养。</w:t>
      </w:r>
    </w:p>
    <w:p w14:paraId="230D0237">
      <w:pPr>
        <w:widowControl/>
        <w:spacing w:before="0" w:after="0" w:line="540" w:lineRule="exact"/>
        <w:ind w:right="0" w:firstLine="562" w:firstLineChars="200"/>
        <w:jc w:val="both"/>
        <w:outlineLvl w:val="0"/>
        <w:rPr>
          <w:rFonts w:hint="eastAsia" w:ascii="仿宋" w:hAnsi="仿宋" w:eastAsia="仿宋" w:cs="仿宋"/>
          <w:sz w:val="28"/>
          <w:szCs w:val="28"/>
        </w:rPr>
      </w:pPr>
      <w:bookmarkStart w:id="21" w:name="_GoBack"/>
      <w:bookmarkEnd w:id="21"/>
      <w:r>
        <w:rPr>
          <w:rFonts w:hint="eastAsia" w:ascii="楷体_GB2312" w:hAnsi="楷体_GB2312" w:eastAsia="楷体_GB2312" w:cs="楷体_GB2312"/>
          <w:b/>
          <w:color w:val="000000"/>
          <w:kern w:val="0"/>
          <w:sz w:val="28"/>
          <w:szCs w:val="28"/>
          <w:lang w:bidi="ar"/>
        </w:rPr>
        <w:t>（一）竞赛资源直接转化为教学资源方案</w:t>
      </w:r>
    </w:p>
    <w:p w14:paraId="451AC754">
      <w:pPr>
        <w:widowControl/>
        <w:spacing w:before="0" w:after="0" w:line="540" w:lineRule="exact"/>
        <w:ind w:left="0" w:right="0" w:firstLine="560" w:firstLineChars="200"/>
        <w:jc w:val="both"/>
        <w:rPr>
          <w:rFonts w:hint="eastAsia" w:ascii="仿宋" w:hAnsi="仿宋" w:eastAsia="仿宋" w:cs="仿宋"/>
          <w:sz w:val="28"/>
          <w:szCs w:val="28"/>
        </w:rPr>
      </w:pPr>
      <w:r>
        <w:rPr>
          <w:rFonts w:hint="eastAsia" w:ascii="仿宋_GB2312" w:hAnsi="仿宋_GB2312" w:eastAsia="仿宋_GB2312" w:cs="仿宋_GB2312"/>
          <w:b w:val="0"/>
          <w:color w:val="000000"/>
          <w:kern w:val="0"/>
          <w:sz w:val="28"/>
          <w:szCs w:val="28"/>
          <w:lang w:bidi="ar"/>
        </w:rPr>
        <w:t xml:space="preserve">成立竞赛资源转化小组，搜集整理竞赛资源，通过发放调研表等方式，对每次比赛成果进行转换。转换形成的教学资源包括：教材、教学指导书、学生学习指导书、学生技术技能训练标准、教学资源库等五个部分。 </w:t>
      </w:r>
    </w:p>
    <w:p w14:paraId="2F5DC911">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1.通过对裁判、</w:t>
      </w:r>
      <w:r>
        <w:rPr>
          <w:rFonts w:hint="eastAsia" w:ascii="仿宋_GB2312" w:hAnsi="仿宋_GB2312" w:eastAsia="仿宋_GB2312" w:cs="仿宋_GB2312"/>
          <w:b/>
          <w:color w:val="000000"/>
          <w:kern w:val="0"/>
          <w:sz w:val="28"/>
          <w:szCs w:val="28"/>
          <w:lang w:eastAsia="zh-Hans" w:bidi="ar"/>
        </w:rPr>
        <w:t>参赛选手</w:t>
      </w:r>
      <w:r>
        <w:rPr>
          <w:rFonts w:hint="eastAsia" w:ascii="仿宋_GB2312" w:hAnsi="仿宋_GB2312" w:eastAsia="仿宋_GB2312" w:cs="仿宋_GB2312"/>
          <w:b/>
          <w:color w:val="000000"/>
          <w:kern w:val="0"/>
          <w:sz w:val="28"/>
          <w:szCs w:val="28"/>
          <w:lang w:bidi="ar"/>
        </w:rPr>
        <w:t xml:space="preserve">的问卷调查，就竞赛过程中学生存在的问题、缺失、经验进行系统总结、分类，并将经验转换为教材与教学教案中的一部分，以完善教材体系及教案内容。 </w:t>
      </w:r>
    </w:p>
    <w:p w14:paraId="3BF76C10">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2.通过综合分析比赛视频，查找学生学习与训练中的薄弱点、业务流程中处理存在的缺限，组织编写教师教学指导书及学生学习与训练指导书。 </w:t>
      </w:r>
    </w:p>
    <w:p w14:paraId="1DF98851">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3.通过校企合作，把企业岗位标准、操作规范等融入到竞赛中来，通过比较、提炼，固化相关业务流程处理、设施设备的操作标准与规范，形成学生的训练或检测标准。 </w:t>
      </w:r>
    </w:p>
    <w:p w14:paraId="08EF517D">
      <w:pPr>
        <w:widowControl/>
        <w:spacing w:before="0" w:after="0" w:line="540" w:lineRule="exact"/>
        <w:ind w:left="0" w:right="0" w:firstLine="562" w:firstLineChars="200"/>
        <w:jc w:val="both"/>
        <w:rPr>
          <w:rFonts w:hint="eastAsia" w:ascii="仿宋" w:hAnsi="仿宋" w:eastAsia="仿宋" w:cs="仿宋"/>
          <w:sz w:val="28"/>
          <w:szCs w:val="28"/>
        </w:rPr>
      </w:pPr>
      <w:r>
        <w:rPr>
          <w:rFonts w:hint="eastAsia" w:ascii="仿宋_GB2312" w:hAnsi="仿宋_GB2312" w:eastAsia="仿宋_GB2312" w:cs="仿宋_GB2312"/>
          <w:b/>
          <w:color w:val="000000"/>
          <w:kern w:val="0"/>
          <w:sz w:val="28"/>
          <w:szCs w:val="28"/>
          <w:lang w:bidi="ar"/>
        </w:rPr>
        <w:t xml:space="preserve">4.各参赛队伍设计方案全部存档，优秀设计方案汇编成册。 </w:t>
      </w:r>
    </w:p>
    <w:p w14:paraId="6015D584">
      <w:pPr>
        <w:widowControl/>
        <w:spacing w:before="0" w:after="0" w:line="540" w:lineRule="exact"/>
        <w:ind w:left="0" w:right="0" w:firstLine="560"/>
        <w:jc w:val="both"/>
        <w:rPr>
          <w:rFonts w:hint="eastAsia" w:ascii="仿宋" w:hAnsi="仿宋" w:eastAsia="仿宋" w:cs="仿宋"/>
          <w:sz w:val="28"/>
          <w:szCs w:val="28"/>
        </w:rPr>
      </w:pPr>
      <w:r>
        <w:rPr>
          <w:rFonts w:hint="eastAsia" w:ascii="楷体_GB2312" w:hAnsi="楷体_GB2312" w:eastAsia="楷体_GB2312" w:cs="楷体_GB2312"/>
          <w:b/>
          <w:color w:val="000000"/>
          <w:kern w:val="0"/>
          <w:sz w:val="28"/>
          <w:szCs w:val="28"/>
          <w:lang w:bidi="ar"/>
        </w:rPr>
        <w:t xml:space="preserve">（二）相关资源后期转化拓展完善方案 </w:t>
      </w:r>
    </w:p>
    <w:p w14:paraId="40AD1021">
      <w:pPr>
        <w:widowControl/>
        <w:spacing w:before="0" w:after="0" w:line="540" w:lineRule="exact"/>
        <w:ind w:left="0" w:right="0" w:firstLine="560" w:firstLineChars="200"/>
        <w:jc w:val="both"/>
        <w:rPr>
          <w:rFonts w:ascii="仿宋" w:hAnsi="仿宋" w:eastAsia="仿宋" w:cs="仿宋"/>
          <w:sz w:val="28"/>
          <w:szCs w:val="28"/>
          <w:lang w:eastAsia="zh-Hans"/>
        </w:rPr>
      </w:pPr>
      <w:r>
        <w:rPr>
          <w:rFonts w:hint="eastAsia" w:ascii="仿宋_GB2312" w:hAnsi="仿宋_GB2312" w:eastAsia="仿宋_GB2312" w:cs="仿宋_GB2312"/>
          <w:b w:val="0"/>
          <w:color w:val="000000"/>
          <w:kern w:val="0"/>
          <w:sz w:val="28"/>
          <w:szCs w:val="28"/>
          <w:lang w:bidi="ar"/>
        </w:rPr>
        <w:t xml:space="preserve">将物流行业面向高职专业毕业生的典型工作任务和实际的岗位能力要求与竞赛完美融合。所有的物流技能训练教学资源均采用数字化形式，搭建统一的基于互联网的专业教学资源库平台，方便参赛院校使用。 </w:t>
      </w:r>
    </w:p>
    <w:sectPr>
      <w:footerReference r:id="rId7" w:type="default"/>
      <w:footerReference r:id="rId8" w:type="even"/>
      <w:pgSz w:w="11906" w:h="16838"/>
      <w:pgMar w:top="2098" w:right="1474" w:bottom="1984" w:left="1587" w:header="850"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E1DAB47-5C50-458B-8768-1D3974C1610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4CBFEE9-673D-4AFA-938C-271E8D3D9C57}"/>
  </w:font>
  <w:font w:name="Arial Unicode MS">
    <w:altName w:val="宋体"/>
    <w:panose1 w:val="020B0604020202020204"/>
    <w:charset w:val="86"/>
    <w:family w:val="roman"/>
    <w:pitch w:val="default"/>
    <w:sig w:usb0="00000000" w:usb1="00000000" w:usb2="0000007F" w:usb3="00000000" w:csb0="203F01FF" w:csb1="DFFF0000"/>
  </w:font>
  <w:font w:name="仿宋">
    <w:panose1 w:val="02010609060101010101"/>
    <w:charset w:val="86"/>
    <w:family w:val="modern"/>
    <w:pitch w:val="default"/>
    <w:sig w:usb0="800002BF" w:usb1="38CF7CFA" w:usb2="00000016" w:usb3="00000000" w:csb0="00040001" w:csb1="00000000"/>
    <w:embedRegular r:id="rId3" w:fontKey="{5979601C-DB6D-40EC-96F9-37967BD9B124}"/>
  </w:font>
  <w:font w:name="方正小标宋简体">
    <w:panose1 w:val="03000509000000000000"/>
    <w:charset w:val="86"/>
    <w:family w:val="auto"/>
    <w:pitch w:val="default"/>
    <w:sig w:usb0="00000001" w:usb1="080E0000" w:usb2="00000000" w:usb3="00000000" w:csb0="00040000" w:csb1="00000000"/>
    <w:embedRegular r:id="rId4" w:fontKey="{C98C78DF-9342-4438-8DC1-8BC52619B345}"/>
  </w:font>
  <w:font w:name="仿宋_GB2312">
    <w:panose1 w:val="02010609030101010101"/>
    <w:charset w:val="86"/>
    <w:family w:val="auto"/>
    <w:pitch w:val="default"/>
    <w:sig w:usb0="00000001" w:usb1="080E0000" w:usb2="00000000" w:usb3="00000000" w:csb0="00040000" w:csb1="00000000"/>
    <w:embedRegular r:id="rId5" w:fontKey="{5CA47050-3E82-4943-844B-B867078BBD28}"/>
  </w:font>
  <w:font w:name="楷体_GB2312">
    <w:panose1 w:val="02010609030101010101"/>
    <w:charset w:val="86"/>
    <w:family w:val="auto"/>
    <w:pitch w:val="default"/>
    <w:sig w:usb0="00000001" w:usb1="080E0000" w:usb2="00000000" w:usb3="00000000" w:csb0="00040000" w:csb1="00000000"/>
    <w:embedRegular r:id="rId6" w:fontKey="{B818DA43-1733-459F-B437-F085FB51F9F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63150">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F692D">
    <w:pPr>
      <w:pStyle w:val="5"/>
      <w:framePr w:wrap="around" w:vAnchor="text" w:hAnchor="margin" w:xAlign="center" w:y="1"/>
      <w:rPr>
        <w:rStyle w:val="10"/>
      </w:rPr>
    </w:pPr>
    <w:r>
      <w:fldChar w:fldCharType="begin"/>
    </w:r>
    <w:r>
      <w:rPr>
        <w:rStyle w:val="10"/>
      </w:rPr>
      <w:instrText xml:space="preserve">PAGE  </w:instrText>
    </w:r>
    <w:r>
      <w:fldChar w:fldCharType="separate"/>
    </w:r>
    <w:r>
      <w:fldChar w:fldCharType="end"/>
    </w:r>
  </w:p>
  <w:p w14:paraId="0722922E">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34853">
    <w:pPr>
      <w:pStyle w:val="5"/>
      <w:spacing w:before="0" w:after="0" w:line="540" w:lineRule="exact"/>
      <w:jc w:val="right"/>
    </w:pPr>
    <w:r>
      <w:rPr>
        <w:rFonts w:ascii="仿宋_GB2312" w:hAnsi="仿宋_GB2312" w:eastAsia="仿宋_GB2312" w:cs="仿宋_GB2312"/>
        <w:b w:val="0"/>
        <w:sz w:val="28"/>
      </w:rPr>
      <w:t>—</w:t>
    </w:r>
    <w:r>
      <w:fldChar w:fldCharType="begin"/>
    </w:r>
    <w:r>
      <w:instrText xml:space="preserve"> PAGE </w:instrText>
    </w:r>
    <w:r>
      <w:fldChar w:fldCharType="separate"/>
    </w:r>
    <w:r>
      <w:rPr>
        <w:rFonts w:ascii="仿宋_GB2312" w:hAnsi="仿宋_GB2312" w:eastAsia="仿宋_GB2312" w:cs="仿宋_GB2312"/>
        <w:sz w:val="280"/>
        <w:szCs w:val="280"/>
      </w:rPr>
      <w:t>1</w:t>
    </w:r>
    <w:r>
      <w:rPr>
        <w:rFonts w:ascii="仿宋_GB2312" w:hAnsi="仿宋_GB2312" w:eastAsia="仿宋_GB2312" w:cs="仿宋_GB2312"/>
        <w:sz w:val="280"/>
        <w:szCs w:val="280"/>
      </w:rPr>
      <w:fldChar w:fldCharType="end"/>
    </w:r>
    <w:r>
      <w:rPr>
        <w:rFonts w:ascii="仿宋_GB2312" w:hAnsi="仿宋_GB2312" w:eastAsia="仿宋_GB2312" w:cs="仿宋_GB2312"/>
        <w:b w:val="0"/>
        <w:sz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AF77E">
    <w:pPr>
      <w:spacing w:before="0" w:after="0" w:line="540" w:lineRule="exact"/>
      <w:jc w:val="left"/>
    </w:pPr>
    <w:r>
      <w:rPr>
        <w:rFonts w:ascii="仿宋_GB2312" w:hAnsi="仿宋_GB2312" w:eastAsia="仿宋_GB2312" w:cs="仿宋_GB2312"/>
        <w:b w:val="0"/>
        <w:sz w:val="28"/>
      </w:rPr>
      <w:t>—</w:t>
    </w:r>
    <w:r>
      <w:fldChar w:fldCharType="begin"/>
    </w:r>
    <w:r>
      <w:instrText xml:space="preserve"> PAGE </w:instrText>
    </w:r>
    <w:r>
      <w:fldChar w:fldCharType="separate"/>
    </w:r>
    <w:r>
      <w:rPr>
        <w:rFonts w:ascii="仿宋_GB2312" w:hAnsi="仿宋_GB2312" w:eastAsia="仿宋_GB2312" w:cs="仿宋_GB2312"/>
        <w:sz w:val="280"/>
        <w:szCs w:val="280"/>
      </w:rPr>
      <w:t>1</w:t>
    </w:r>
    <w:r>
      <w:rPr>
        <w:rFonts w:ascii="仿宋_GB2312" w:hAnsi="仿宋_GB2312" w:eastAsia="仿宋_GB2312" w:cs="仿宋_GB2312"/>
        <w:sz w:val="280"/>
        <w:szCs w:val="280"/>
      </w:rPr>
      <w:fldChar w:fldCharType="end"/>
    </w:r>
    <w:r>
      <w:rPr>
        <w:rFonts w:ascii="仿宋_GB2312" w:hAnsi="仿宋_GB2312" w:eastAsia="仿宋_GB2312" w:cs="仿宋_GB2312"/>
        <w:b w:val="0"/>
        <w:sz w:val="28"/>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A93E0">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9A62A">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F67210"/>
    <w:multiLevelType w:val="singleLevel"/>
    <w:tmpl w:val="65F67210"/>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VerticalSpacing w:val="14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1MTA2MjU3ODgzMDhkMzE0ZTU0MjU4NGU4NDljNDMifQ=="/>
  </w:docVars>
  <w:rsids>
    <w:rsidRoot w:val="00172A27"/>
    <w:rsid w:val="000A69D9"/>
    <w:rsid w:val="000B7ED2"/>
    <w:rsid w:val="000F27F6"/>
    <w:rsid w:val="001C1894"/>
    <w:rsid w:val="001D031C"/>
    <w:rsid w:val="001F142B"/>
    <w:rsid w:val="0026781C"/>
    <w:rsid w:val="002719D2"/>
    <w:rsid w:val="00397313"/>
    <w:rsid w:val="00424D64"/>
    <w:rsid w:val="00445240"/>
    <w:rsid w:val="0044538B"/>
    <w:rsid w:val="004704EF"/>
    <w:rsid w:val="004E0B86"/>
    <w:rsid w:val="004E3386"/>
    <w:rsid w:val="005A5781"/>
    <w:rsid w:val="005D32E9"/>
    <w:rsid w:val="005F6EC8"/>
    <w:rsid w:val="007834FE"/>
    <w:rsid w:val="00783F3A"/>
    <w:rsid w:val="00790C36"/>
    <w:rsid w:val="0088663A"/>
    <w:rsid w:val="008C4A86"/>
    <w:rsid w:val="0092080F"/>
    <w:rsid w:val="009B0B85"/>
    <w:rsid w:val="00A95ADF"/>
    <w:rsid w:val="00AC0D10"/>
    <w:rsid w:val="00B27CFB"/>
    <w:rsid w:val="00BA73A8"/>
    <w:rsid w:val="00C02B95"/>
    <w:rsid w:val="00C66B8D"/>
    <w:rsid w:val="00CC78AD"/>
    <w:rsid w:val="00D4118B"/>
    <w:rsid w:val="00D94840"/>
    <w:rsid w:val="00DB13A0"/>
    <w:rsid w:val="00DF27E7"/>
    <w:rsid w:val="00EF7BA4"/>
    <w:rsid w:val="00F265F5"/>
    <w:rsid w:val="00F94316"/>
    <w:rsid w:val="00FF64AE"/>
    <w:rsid w:val="02B33448"/>
    <w:rsid w:val="036108C4"/>
    <w:rsid w:val="053B7849"/>
    <w:rsid w:val="06E366D4"/>
    <w:rsid w:val="07414C7E"/>
    <w:rsid w:val="08FF094D"/>
    <w:rsid w:val="0F4470B9"/>
    <w:rsid w:val="0FD01088"/>
    <w:rsid w:val="11206FAA"/>
    <w:rsid w:val="12042B30"/>
    <w:rsid w:val="16A04880"/>
    <w:rsid w:val="17FFE327"/>
    <w:rsid w:val="18CB25F9"/>
    <w:rsid w:val="1B211460"/>
    <w:rsid w:val="1CA71ED0"/>
    <w:rsid w:val="1D3909E0"/>
    <w:rsid w:val="1D7274E7"/>
    <w:rsid w:val="1DEB3CF5"/>
    <w:rsid w:val="1EBB7866"/>
    <w:rsid w:val="1FF40688"/>
    <w:rsid w:val="20A51FD2"/>
    <w:rsid w:val="20F87412"/>
    <w:rsid w:val="21EF2C11"/>
    <w:rsid w:val="23C87E61"/>
    <w:rsid w:val="2438002D"/>
    <w:rsid w:val="248845EB"/>
    <w:rsid w:val="27690B27"/>
    <w:rsid w:val="27AA2726"/>
    <w:rsid w:val="292F2731"/>
    <w:rsid w:val="29423E6F"/>
    <w:rsid w:val="2AF42BA8"/>
    <w:rsid w:val="2AF46657"/>
    <w:rsid w:val="2D341A64"/>
    <w:rsid w:val="2F370591"/>
    <w:rsid w:val="34044228"/>
    <w:rsid w:val="34F831BF"/>
    <w:rsid w:val="36301896"/>
    <w:rsid w:val="3A1C67FB"/>
    <w:rsid w:val="3D7FAAC0"/>
    <w:rsid w:val="3DECA257"/>
    <w:rsid w:val="3E305828"/>
    <w:rsid w:val="3FEB7F4A"/>
    <w:rsid w:val="40C96B6F"/>
    <w:rsid w:val="41326059"/>
    <w:rsid w:val="46B3424B"/>
    <w:rsid w:val="46CE7809"/>
    <w:rsid w:val="492FD935"/>
    <w:rsid w:val="4B3F0159"/>
    <w:rsid w:val="4E58104E"/>
    <w:rsid w:val="4F764366"/>
    <w:rsid w:val="4FF754A7"/>
    <w:rsid w:val="52A511EA"/>
    <w:rsid w:val="53081779"/>
    <w:rsid w:val="537F8778"/>
    <w:rsid w:val="538B2090"/>
    <w:rsid w:val="53BA3C30"/>
    <w:rsid w:val="56DC2655"/>
    <w:rsid w:val="576D42A0"/>
    <w:rsid w:val="583A2713"/>
    <w:rsid w:val="5EFC1FE6"/>
    <w:rsid w:val="5FA171DD"/>
    <w:rsid w:val="5FAA4682"/>
    <w:rsid w:val="645038F6"/>
    <w:rsid w:val="651545A8"/>
    <w:rsid w:val="65DD46DE"/>
    <w:rsid w:val="67633C37"/>
    <w:rsid w:val="67933B2A"/>
    <w:rsid w:val="6B122A8E"/>
    <w:rsid w:val="6CE0152E"/>
    <w:rsid w:val="6D3079C8"/>
    <w:rsid w:val="70686A19"/>
    <w:rsid w:val="70875F7B"/>
    <w:rsid w:val="721B2E1F"/>
    <w:rsid w:val="72F83160"/>
    <w:rsid w:val="73D989AB"/>
    <w:rsid w:val="75F7CD6C"/>
    <w:rsid w:val="77BFF273"/>
    <w:rsid w:val="77E967DD"/>
    <w:rsid w:val="7B617D7A"/>
    <w:rsid w:val="7B882BC3"/>
    <w:rsid w:val="7C024691"/>
    <w:rsid w:val="7D59469C"/>
    <w:rsid w:val="7DC66335"/>
    <w:rsid w:val="7DCB56F9"/>
    <w:rsid w:val="7DEA0797"/>
    <w:rsid w:val="7E1C29DF"/>
    <w:rsid w:val="7EBB2813"/>
    <w:rsid w:val="7EDD75BD"/>
    <w:rsid w:val="7EE625E7"/>
    <w:rsid w:val="7F571991"/>
    <w:rsid w:val="7FFE3EBD"/>
    <w:rsid w:val="ADFF7B6E"/>
    <w:rsid w:val="AFFFB1EA"/>
    <w:rsid w:val="BA6B9DBC"/>
    <w:rsid w:val="DFDFCD6D"/>
    <w:rsid w:val="DFFB7634"/>
    <w:rsid w:val="DFFE08FF"/>
    <w:rsid w:val="F1FF4970"/>
    <w:rsid w:val="F32F5340"/>
    <w:rsid w:val="FBFC6962"/>
    <w:rsid w:val="FDEF27AD"/>
    <w:rsid w:val="FDFF885D"/>
    <w:rsid w:val="FEFE9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qFormat/>
    <w:uiPriority w:val="0"/>
    <w:pPr>
      <w:keepNext/>
      <w:keepLines/>
      <w:spacing w:before="260" w:after="260" w:line="413" w:lineRule="auto"/>
      <w:outlineLvl w:val="2"/>
    </w:pPr>
    <w:rPr>
      <w:b/>
      <w:bCs/>
      <w:sz w:val="32"/>
      <w:szCs w:val="32"/>
    </w:rPr>
  </w:style>
  <w:style w:type="character" w:default="1" w:styleId="9">
    <w:name w:val="Default Paragraph Font"/>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link w:val="12"/>
    <w:qFormat/>
    <w:uiPriority w:val="0"/>
    <w:pPr>
      <w:ind w:firstLine="420"/>
    </w:pPr>
    <w:rPr>
      <w:szCs w:val="20"/>
    </w:rPr>
  </w:style>
  <w:style w:type="paragraph" w:styleId="4">
    <w:name w:val="Balloon Text"/>
    <w:basedOn w:val="1"/>
    <w:link w:val="13"/>
    <w:qFormat/>
    <w:uiPriority w:val="0"/>
    <w:rPr>
      <w:sz w:val="18"/>
      <w:szCs w:val="18"/>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6"/>
    <w:qFormat/>
    <w:uiPriority w:val="0"/>
    <w:pPr>
      <w:snapToGrid w:val="0"/>
      <w:jc w:val="left"/>
    </w:pPr>
    <w:rPr>
      <w:sz w:val="18"/>
      <w:szCs w:val="18"/>
    </w:rPr>
  </w:style>
  <w:style w:type="character" w:styleId="10">
    <w:name w:val="page number"/>
    <w:basedOn w:val="9"/>
    <w:qFormat/>
    <w:uiPriority w:val="0"/>
  </w:style>
  <w:style w:type="character" w:styleId="11">
    <w:name w:val="footnote reference"/>
    <w:qFormat/>
    <w:uiPriority w:val="0"/>
    <w:rPr>
      <w:vertAlign w:val="superscript"/>
    </w:rPr>
  </w:style>
  <w:style w:type="character" w:customStyle="1" w:styleId="12">
    <w:name w:val="正文缩进 字符"/>
    <w:link w:val="3"/>
    <w:qFormat/>
    <w:uiPriority w:val="0"/>
    <w:rPr>
      <w:kern w:val="2"/>
      <w:sz w:val="21"/>
      <w:lang w:bidi="ar-SA"/>
    </w:rPr>
  </w:style>
  <w:style w:type="character" w:customStyle="1" w:styleId="13">
    <w:name w:val="批注框文本 字符"/>
    <w:link w:val="4"/>
    <w:qFormat/>
    <w:uiPriority w:val="0"/>
    <w:rPr>
      <w:kern w:val="2"/>
      <w:sz w:val="18"/>
      <w:szCs w:val="18"/>
    </w:rPr>
  </w:style>
  <w:style w:type="character" w:customStyle="1" w:styleId="14">
    <w:name w:val="页脚 字符"/>
    <w:link w:val="5"/>
    <w:qFormat/>
    <w:uiPriority w:val="0"/>
    <w:rPr>
      <w:kern w:val="2"/>
      <w:sz w:val="18"/>
      <w:szCs w:val="18"/>
    </w:rPr>
  </w:style>
  <w:style w:type="character" w:customStyle="1" w:styleId="15">
    <w:name w:val="页眉 字符"/>
    <w:link w:val="6"/>
    <w:qFormat/>
    <w:uiPriority w:val="0"/>
    <w:rPr>
      <w:kern w:val="2"/>
      <w:sz w:val="18"/>
      <w:szCs w:val="18"/>
    </w:rPr>
  </w:style>
  <w:style w:type="character" w:customStyle="1" w:styleId="16">
    <w:name w:val="脚注文本 字符"/>
    <w:link w:val="7"/>
    <w:qFormat/>
    <w:uiPriority w:val="0"/>
    <w:rPr>
      <w:kern w:val="2"/>
      <w:sz w:val="18"/>
      <w:szCs w:val="18"/>
    </w:rPr>
  </w:style>
  <w:style w:type="paragraph" w:customStyle="1" w:styleId="17">
    <w:name w:val="_Style 3"/>
    <w:basedOn w:val="1"/>
    <w:qFormat/>
    <w:uiPriority w:val="0"/>
    <w:pPr>
      <w:ind w:firstLine="420" w:firstLineChars="200"/>
    </w:pPr>
  </w:style>
  <w:style w:type="paragraph" w:customStyle="1" w:styleId="18">
    <w:name w:val="p0"/>
    <w:basedOn w:val="1"/>
    <w:qFormat/>
    <w:uiPriority w:val="0"/>
    <w:pPr>
      <w:widowControl/>
    </w:pPr>
    <w:rPr>
      <w:szCs w:val="21"/>
    </w:rPr>
  </w:style>
  <w:style w:type="paragraph" w:customStyle="1" w:styleId="19">
    <w:name w:val="_Style 1"/>
    <w:basedOn w:val="1"/>
    <w:qFormat/>
    <w:uiPriority w:val="0"/>
    <w:pPr>
      <w:ind w:firstLine="420" w:firstLineChars="200"/>
    </w:pPr>
  </w:style>
  <w:style w:type="paragraph" w:customStyle="1" w:styleId="20">
    <w:name w:val="Table Paragraph"/>
    <w:basedOn w:val="1"/>
    <w:qFormat/>
    <w:uiPriority w:val="1"/>
    <w:rPr>
      <w:rFonts w:ascii="宋体" w:hAnsi="宋体" w:cs="宋体"/>
    </w:rPr>
  </w:style>
  <w:style w:type="paragraph" w:customStyle="1" w:styleId="21">
    <w:name w:val="列出段落1"/>
    <w:basedOn w:val="1"/>
    <w:qFormat/>
    <w:uiPriority w:val="0"/>
    <w:pPr>
      <w:ind w:firstLine="420" w:firstLineChars="200"/>
    </w:pPr>
    <w:rPr>
      <w:rFonts w:hint="eastAsia"/>
    </w:rPr>
  </w:style>
  <w:style w:type="paragraph" w:customStyle="1" w:styleId="22">
    <w:name w:val="Default"/>
    <w:qFormat/>
    <w:uiPriority w:val="0"/>
    <w:pPr>
      <w:widowControl w:val="0"/>
      <w:autoSpaceDE w:val="0"/>
      <w:autoSpaceDN w:val="0"/>
      <w:adjustRightInd w:val="0"/>
    </w:pPr>
    <w:rPr>
      <w:rFonts w:ascii="Arial Unicode MS" w:hAnsi="Arial Unicode MS" w:eastAsia="宋体" w:cs="Arial Unicode MS"/>
      <w:color w:val="000000"/>
      <w:sz w:val="24"/>
      <w:szCs w:val="24"/>
      <w:lang w:val="en-US" w:eastAsia="zh-CN" w:bidi="ar-SA"/>
    </w:rPr>
  </w:style>
  <w:style w:type="paragraph" w:styleId="23">
    <w:name w:val="List Paragraph"/>
    <w:basedOn w:val="1"/>
    <w:qFormat/>
    <w:uiPriority w:val="0"/>
    <w:pPr>
      <w:ind w:firstLine="420" w:firstLineChars="200"/>
    </w:pPr>
  </w:style>
  <w:style w:type="table" w:customStyle="1" w:styleId="24">
    <w:name w:val="Table Normal"/>
    <w:basedOn w:val="8"/>
    <w:unhideWhenUsed/>
    <w:qFormat/>
    <w:uiPriority w:val="0"/>
    <w:tblPr>
      <w:tblCellMar>
        <w:left w:w="0" w:type="dxa"/>
        <w:right w:w="0" w:type="dxa"/>
      </w:tblCellMar>
    </w:tblPr>
  </w:style>
  <w:style w:type="paragraph" w:customStyle="1" w:styleId="25">
    <w:name w:val="WPSOffice手动目录 1"/>
    <w:qFormat/>
    <w:uiPriority w:val="0"/>
    <w:rPr>
      <w:rFonts w:ascii="Times New Roman" w:hAnsi="Times New Roman" w:eastAsia="宋体" w:cs="Times New Roman"/>
      <w:lang w:val="en-US" w:eastAsia="zh-CN" w:bidi="ar-SA"/>
    </w:rPr>
  </w:style>
  <w:style w:type="character" w:customStyle="1" w:styleId="26">
    <w:name w:val="font11"/>
    <w:basedOn w:val="9"/>
    <w:qFormat/>
    <w:uiPriority w:val="0"/>
    <w:rPr>
      <w:rFonts w:hint="eastAsia" w:ascii="仿宋" w:hAnsi="仿宋" w:eastAsia="仿宋" w:cs="仿宋"/>
      <w:color w:val="000000"/>
      <w:sz w:val="24"/>
      <w:szCs w:val="24"/>
      <w:u w:val="none"/>
    </w:rPr>
  </w:style>
  <w:style w:type="paragraph" w:customStyle="1" w:styleId="27">
    <w:name w:val="Table Text"/>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customStyle="1" w:styleId="28">
    <w:name w:val="10"/>
    <w:basedOn w:val="9"/>
    <w:qFormat/>
    <w:uiPriority w:val="0"/>
    <w:rPr>
      <w:rFonts w:hint="default" w:ascii="Times New Roman" w:hAnsi="Times New Roman" w:cs="Times New Roman"/>
    </w:rPr>
  </w:style>
  <w:style w:type="character" w:customStyle="1" w:styleId="29">
    <w:name w:val="15"/>
    <w:basedOn w:val="9"/>
    <w:qFormat/>
    <w:uiPriority w:val="0"/>
    <w:rPr>
      <w:rFonts w:hint="eastAsia" w:ascii="仿宋" w:hAnsi="仿宋" w:eastAsia="仿宋" w:cs="仿宋"/>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Manager>陈玉婷</Manager>
  <Company>陈玉婷</Company>
  <Pages>30</Pages>
  <Words>12461</Words>
  <Characters>13383</Characters>
  <Lines>575</Lines>
  <Paragraphs>623</Paragraphs>
  <TotalTime>17</TotalTime>
  <ScaleCrop>false</ScaleCrop>
  <LinksUpToDate>false</LinksUpToDate>
  <CharactersWithSpaces>13817</CharactersWithSpaces>
  <Application>WPS Office_12.1.0.29161_F1E327BC-269C-435d-A152-05C5408002CA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2026-10-20T11:28:00Z</dcterms:created>
  <dc:creator>陈玉婷</dc:creator>
  <cp:lastModifiedBy>卟呤卟呤</cp:lastModifiedBy>
  <cp:lastPrinted>2015-03-25T08:10:00Z</cp:lastPrinted>
  <dcterms:modified xsi:type="dcterms:W3CDTF">2026-10-21T02:07:18Z</dcterms:modified>
  <dc:title>2012年全国职业院校技能大赛高职组</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FA91BA4066F7463192DFE34F921ED428_13</vt:lpwstr>
  </property>
  <property fmtid="{D5CDD505-2E9C-101B-9397-08002B2CF9AE}" pid="4" name="KSOTemplateDocerSaveRecord">
    <vt:lpwstr>eyJoZGlkIjoiMjc5NDgwYWI1NDkyODQ5MWVkNWRhMzM0MzFkMTBiNDkiLCJ1c2VySWQiOiIzNDkzMjAyNTIifQ==</vt:lpwstr>
  </property>
</Properties>
</file>