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A58E6">
      <w:pPr>
        <w:widowControl/>
        <w:kinsoku w:val="0"/>
        <w:autoSpaceDE w:val="0"/>
        <w:autoSpaceDN w:val="0"/>
        <w:adjustRightInd w:val="0"/>
        <w:snapToGrid w:val="0"/>
        <w:spacing w:line="540" w:lineRule="exact"/>
        <w:contextualSpacing/>
        <w:jc w:val="center"/>
        <w:textAlignment w:val="baseline"/>
        <w:rPr>
          <w:rFonts w:hint="eastAsia" w:ascii="方正公文小标宋" w:hAnsi="方正公文小标宋" w:eastAsia="方正公文小标宋" w:cs="方正公文小标宋"/>
          <w:snapToGrid w:val="0"/>
          <w:color w:val="000000"/>
          <w:spacing w:val="-4"/>
          <w:kern w:val="0"/>
          <w:sz w:val="36"/>
          <w:szCs w:val="36"/>
          <w:lang w:eastAsia="zh-CN"/>
          <w14:ligatures w14:val="standardContextual"/>
        </w:rPr>
      </w:pPr>
      <w:r>
        <w:rPr>
          <w:rFonts w:hint="eastAsia" w:ascii="方正公文小标宋" w:hAnsi="方正公文小标宋" w:eastAsia="方正公文小标宋" w:cs="方正公文小标宋"/>
          <w:snapToGrid w:val="0"/>
          <w:color w:val="000000"/>
          <w:spacing w:val="-4"/>
          <w:kern w:val="0"/>
          <w:sz w:val="36"/>
          <w:szCs w:val="36"/>
          <w:lang w:eastAsia="zh-CN"/>
          <w14:ligatures w14:val="standardContextual"/>
        </w:rPr>
        <w:t>202</w:t>
      </w:r>
      <w:r>
        <w:rPr>
          <w:rFonts w:hint="eastAsia" w:ascii="方正公文小标宋" w:hAnsi="方正公文小标宋" w:eastAsia="方正公文小标宋" w:cs="方正公文小标宋"/>
          <w:snapToGrid w:val="0"/>
          <w:color w:val="000000"/>
          <w:spacing w:val="-4"/>
          <w:kern w:val="0"/>
          <w:sz w:val="36"/>
          <w:szCs w:val="36"/>
          <w:lang w:val="en-US" w:eastAsia="zh-CN"/>
          <w14:ligatures w14:val="standardContextual"/>
        </w:rPr>
        <w:t>6</w:t>
      </w:r>
      <w:r>
        <w:rPr>
          <w:rFonts w:hint="eastAsia" w:ascii="方正公文小标宋" w:hAnsi="方正公文小标宋" w:eastAsia="方正公文小标宋" w:cs="方正公文小标宋"/>
          <w:snapToGrid w:val="0"/>
          <w:color w:val="000000"/>
          <w:spacing w:val="-4"/>
          <w:kern w:val="0"/>
          <w:sz w:val="36"/>
          <w:szCs w:val="36"/>
          <w:lang w:eastAsia="zh-CN"/>
          <w14:ligatures w14:val="standardContextual"/>
        </w:rPr>
        <w:t>年海南省高等职业院校技能大赛</w:t>
      </w:r>
    </w:p>
    <w:p w14:paraId="7EC7B68F">
      <w:pPr>
        <w:widowControl/>
        <w:kinsoku w:val="0"/>
        <w:autoSpaceDE w:val="0"/>
        <w:autoSpaceDN w:val="0"/>
        <w:adjustRightInd w:val="0"/>
        <w:snapToGrid w:val="0"/>
        <w:spacing w:line="540" w:lineRule="exact"/>
        <w:contextualSpacing/>
        <w:jc w:val="center"/>
        <w:textAlignment w:val="baseline"/>
        <w:rPr>
          <w:rFonts w:hint="eastAsia" w:ascii="方正公文小标宋" w:hAnsi="方正公文小标宋" w:eastAsia="方正公文小标宋" w:cs="方正公文小标宋"/>
          <w:snapToGrid w:val="0"/>
          <w:color w:val="000000"/>
          <w:kern w:val="0"/>
          <w:sz w:val="36"/>
          <w:szCs w:val="36"/>
          <w:lang w:eastAsia="zh-CN"/>
          <w14:ligatures w14:val="standardContextual"/>
        </w:rPr>
      </w:pPr>
      <w:r>
        <w:rPr>
          <w:rFonts w:hint="eastAsia" w:ascii="方正公文小标宋" w:hAnsi="方正公文小标宋" w:eastAsia="方正公文小标宋" w:cs="方正公文小标宋"/>
          <w:snapToGrid w:val="0"/>
          <w:color w:val="000000"/>
          <w:spacing w:val="-4"/>
          <w:kern w:val="0"/>
          <w:sz w:val="36"/>
          <w:szCs w:val="36"/>
          <w:lang w:eastAsia="zh-CN"/>
          <w14:ligatures w14:val="standardContextual"/>
        </w:rPr>
        <w:t>幼儿教育技能赛项规程</w:t>
      </w:r>
    </w:p>
    <w:p w14:paraId="7908A1FD">
      <w:pPr>
        <w:kinsoku w:val="0"/>
        <w:autoSpaceDE w:val="0"/>
        <w:autoSpaceDN w:val="0"/>
        <w:adjustRightInd w:val="0"/>
        <w:snapToGrid w:val="0"/>
        <w:spacing w:line="540" w:lineRule="exact"/>
        <w:contextualSpacing/>
        <w:textAlignment w:val="baseline"/>
        <w:rPr>
          <w:rFonts w:hint="eastAsia" w:ascii="方正公文小标宋" w:hAnsi="方正公文小标宋" w:eastAsia="方正公文小标宋" w:cs="方正公文小标宋"/>
          <w:snapToGrid w:val="0"/>
          <w:color w:val="000000"/>
          <w:kern w:val="0"/>
          <w:sz w:val="36"/>
          <w:szCs w:val="36"/>
          <w:lang w:val="en-US" w:eastAsia="en-US" w:bidi="ar-SA"/>
          <w14:ligatures w14:val="standardContextual"/>
        </w:rPr>
      </w:pPr>
    </w:p>
    <w:p w14:paraId="7F990E52">
      <w:pPr>
        <w:widowControl/>
        <w:numPr>
          <w:ilvl w:val="0"/>
          <w:numId w:val="1"/>
        </w:numPr>
        <w:kinsoku w:val="0"/>
        <w:autoSpaceDE w:val="0"/>
        <w:autoSpaceDN w:val="0"/>
        <w:adjustRightInd w:val="0"/>
        <w:snapToGrid w:val="0"/>
        <w:spacing w:line="540" w:lineRule="exact"/>
        <w:ind w:left="567"/>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hint="eastAsia" w:ascii="黑体" w:hAnsi="黑体" w:eastAsia="黑体" w:cs="黑体"/>
          <w:snapToGrid w:val="0"/>
          <w:color w:val="000000"/>
          <w:spacing w:val="-8"/>
          <w:kern w:val="0"/>
          <w:sz w:val="28"/>
          <w:szCs w:val="28"/>
          <w:lang w:eastAsia="zh-CN"/>
          <w14:ligatures w14:val="standardContextual"/>
        </w:rPr>
        <w:t>赛</w:t>
      </w:r>
      <w:r>
        <w:rPr>
          <w:rFonts w:hint="eastAsia" w:ascii="黑体" w:hAnsi="黑体" w:eastAsia="黑体" w:cs="黑体"/>
          <w:snapToGrid w:val="0"/>
          <w:color w:val="000000"/>
          <w:spacing w:val="-8"/>
          <w:kern w:val="0"/>
          <w:sz w:val="28"/>
          <w:szCs w:val="28"/>
          <w:lang w:val="en-US" w:eastAsia="zh-CN"/>
          <w14:ligatures w14:val="standardContextual"/>
        </w:rPr>
        <w:t>事</w:t>
      </w:r>
      <w:r>
        <w:rPr>
          <w:rFonts w:hint="eastAsia" w:ascii="黑体" w:hAnsi="黑体" w:eastAsia="黑体" w:cs="黑体"/>
          <w:snapToGrid w:val="0"/>
          <w:color w:val="000000"/>
          <w:spacing w:val="-8"/>
          <w:kern w:val="0"/>
          <w:sz w:val="28"/>
          <w:szCs w:val="28"/>
          <w:lang w:eastAsia="zh-CN"/>
          <w14:ligatures w14:val="standardContextual"/>
        </w:rPr>
        <w:t>名称</w:t>
      </w:r>
    </w:p>
    <w:p w14:paraId="2178A122">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 xml:space="preserve">赛道名称：教育与体育赛道 </w:t>
      </w:r>
    </w:p>
    <w:p w14:paraId="76E1CCF1">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赛</w:t>
      </w:r>
      <w:r>
        <w:rPr>
          <w:rFonts w:hint="eastAsia" w:ascii="仿宋_GB2312" w:hAnsi="Times New Roman" w:eastAsia="仿宋_GB2312" w:cs="Times New Roman"/>
          <w:snapToGrid w:val="0"/>
          <w:color w:val="000000"/>
          <w:spacing w:val="2"/>
          <w:kern w:val="0"/>
          <w:sz w:val="28"/>
          <w:szCs w:val="28"/>
          <w:lang w:eastAsia="zh-CN"/>
          <w14:ligatures w14:val="standardContextual"/>
        </w:rPr>
        <w:t>项名称</w:t>
      </w:r>
      <w:r>
        <w:rPr>
          <w:rFonts w:ascii="仿宋_GB2312" w:hAnsi="Times New Roman" w:eastAsia="仿宋_GB2312" w:cs="Times New Roman"/>
          <w:snapToGrid w:val="0"/>
          <w:color w:val="000000"/>
          <w:spacing w:val="2"/>
          <w:kern w:val="0"/>
          <w:sz w:val="28"/>
          <w:szCs w:val="28"/>
          <w:lang w:eastAsia="zh-CN"/>
          <w14:ligatures w14:val="standardContextual"/>
        </w:rPr>
        <w:t>：</w:t>
      </w:r>
      <w:r>
        <w:rPr>
          <w:rFonts w:hint="eastAsia" w:ascii="仿宋_GB2312" w:hAnsi="Times New Roman" w:eastAsia="仿宋_GB2312" w:cs="Times New Roman"/>
          <w:snapToGrid w:val="0"/>
          <w:color w:val="000000"/>
          <w:spacing w:val="2"/>
          <w:kern w:val="0"/>
          <w:sz w:val="28"/>
          <w:szCs w:val="28"/>
          <w:lang w:eastAsia="zh-CN"/>
          <w14:ligatures w14:val="standardContextual"/>
        </w:rPr>
        <w:t>幼儿教育技能</w:t>
      </w:r>
      <w:r>
        <w:rPr>
          <w:rFonts w:ascii="仿宋_GB2312" w:hAnsi="Times New Roman" w:eastAsia="仿宋_GB2312" w:cs="Times New Roman"/>
          <w:snapToGrid w:val="0"/>
          <w:color w:val="000000"/>
          <w:spacing w:val="2"/>
          <w:kern w:val="0"/>
          <w:sz w:val="28"/>
          <w:szCs w:val="28"/>
          <w:lang w:eastAsia="zh-CN"/>
          <w14:ligatures w14:val="standardContextual"/>
        </w:rPr>
        <w:t xml:space="preserve"> </w:t>
      </w:r>
    </w:p>
    <w:p w14:paraId="01D2FCBB">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赛项归属产业：</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学前</w:t>
      </w:r>
      <w:r>
        <w:rPr>
          <w:rFonts w:ascii="仿宋_GB2312" w:hAnsi="Times New Roman" w:eastAsia="仿宋_GB2312" w:cs="Times New Roman"/>
          <w:snapToGrid w:val="0"/>
          <w:color w:val="000000"/>
          <w:spacing w:val="2"/>
          <w:kern w:val="0"/>
          <w:sz w:val="28"/>
          <w:szCs w:val="28"/>
          <w:lang w:eastAsia="zh-CN"/>
          <w14:ligatures w14:val="standardContextual"/>
        </w:rPr>
        <w:t>教育</w:t>
      </w:r>
    </w:p>
    <w:p w14:paraId="44C4C98D">
      <w:pPr>
        <w:widowControl/>
        <w:numPr>
          <w:ilvl w:val="0"/>
          <w:numId w:val="1"/>
        </w:numPr>
        <w:kinsoku w:val="0"/>
        <w:autoSpaceDE w:val="0"/>
        <w:autoSpaceDN w:val="0"/>
        <w:adjustRightInd w:val="0"/>
        <w:snapToGrid w:val="0"/>
        <w:spacing w:line="540" w:lineRule="exact"/>
        <w:ind w:left="566"/>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hint="eastAsia" w:ascii="黑体" w:hAnsi="黑体" w:eastAsia="黑体" w:cs="黑体"/>
          <w:snapToGrid w:val="0"/>
          <w:color w:val="000000"/>
          <w:spacing w:val="-8"/>
          <w:kern w:val="0"/>
          <w:sz w:val="28"/>
          <w:szCs w:val="28"/>
          <w:lang w:eastAsia="zh-CN"/>
          <w14:ligatures w14:val="standardContextual"/>
        </w:rPr>
        <w:t>赛事概述</w:t>
      </w:r>
    </w:p>
    <w:p w14:paraId="68A3FFD2">
      <w:pPr>
        <w:widowControl/>
        <w:kinsoku w:val="0"/>
        <w:autoSpaceDE w:val="0"/>
        <w:autoSpaceDN w:val="0"/>
        <w:adjustRightInd w:val="0"/>
        <w:snapToGrid w:val="0"/>
        <w:spacing w:line="540" w:lineRule="exact"/>
        <w:ind w:left="565"/>
        <w:contextualSpacing/>
        <w:jc w:val="left"/>
        <w:textAlignment w:val="baseline"/>
        <w:outlineLvl w:val="2"/>
        <w:rPr>
          <w:rFonts w:hint="eastAsia" w:ascii="楷体_GB2312" w:hAnsi="楷体" w:eastAsia="楷体_GB2312" w:cs="楷体"/>
          <w:snapToGrid w:val="0"/>
          <w:color w:val="000000"/>
          <w:kern w:val="0"/>
          <w:sz w:val="28"/>
          <w:szCs w:val="28"/>
          <w:lang w:eastAsia="en-US"/>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（一）</w:t>
      </w:r>
      <w:r>
        <w:rPr>
          <w:rFonts w:hint="eastAsia" w:ascii="楷体_GB2312" w:hAnsi="楷体" w:eastAsia="楷体_GB2312" w:cs="楷体"/>
          <w:b/>
          <w:bCs/>
          <w:snapToGrid w:val="0"/>
          <w:color w:val="000000"/>
          <w:spacing w:val="-5"/>
          <w:kern w:val="0"/>
          <w:sz w:val="28"/>
          <w:szCs w:val="28"/>
          <w:lang w:eastAsia="en-US"/>
          <w14:ligatures w14:val="standardContextual"/>
        </w:rPr>
        <w:t>赛</w:t>
      </w:r>
      <w:r>
        <w:rPr>
          <w:rFonts w:hint="eastAsia" w:ascii="楷体_GB2312" w:hAnsi="楷体" w:eastAsia="楷体_GB2312" w:cs="楷体"/>
          <w:b/>
          <w:bCs/>
          <w:snapToGrid w:val="0"/>
          <w:color w:val="000000"/>
          <w:spacing w:val="-5"/>
          <w:kern w:val="0"/>
          <w:sz w:val="28"/>
          <w:szCs w:val="28"/>
          <w:lang w:eastAsia="zh-CN"/>
          <w14:ligatures w14:val="standardContextual"/>
        </w:rPr>
        <w:t>事</w:t>
      </w:r>
      <w:r>
        <w:rPr>
          <w:rFonts w:hint="eastAsia" w:ascii="楷体_GB2312" w:hAnsi="楷体" w:eastAsia="楷体_GB2312" w:cs="楷体"/>
          <w:b/>
          <w:bCs/>
          <w:snapToGrid w:val="0"/>
          <w:color w:val="000000"/>
          <w:spacing w:val="-5"/>
          <w:kern w:val="0"/>
          <w:sz w:val="28"/>
          <w:szCs w:val="28"/>
          <w:lang w:eastAsia="en-US"/>
          <w14:ligatures w14:val="standardContextual"/>
        </w:rPr>
        <w:t>意义</w:t>
      </w:r>
    </w:p>
    <w:p w14:paraId="7982E3B3">
      <w:pPr>
        <w:widowControl/>
        <w:kinsoku w:val="0"/>
        <w:autoSpaceDE w:val="0"/>
        <w:autoSpaceDN w:val="0"/>
        <w:adjustRightInd w:val="0"/>
        <w:snapToGrid w:val="0"/>
        <w:spacing w:line="540" w:lineRule="exact"/>
        <w:ind w:firstLine="568" w:firstLineChars="200"/>
        <w:jc w:val="both"/>
        <w:textAlignment w:val="baseline"/>
        <w:rPr>
          <w:rFonts w:hint="eastAsia" w:ascii="仿宋_GB2312" w:hAnsi="仿宋" w:eastAsia="仿宋_GB2312" w:cs="仿宋"/>
          <w:snapToGrid w:val="0"/>
          <w:color w:val="000000"/>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highlight w:val="none"/>
          <w:lang w:eastAsia="zh-CN"/>
          <w14:ligatures w14:val="standardContextual"/>
        </w:rPr>
        <w:t>202</w:t>
      </w:r>
      <w:r>
        <w:rPr>
          <w:rFonts w:hint="eastAsia" w:ascii="仿宋_GB2312" w:hAnsi="Times New Roman" w:eastAsia="仿宋_GB2312" w:cs="Times New Roman"/>
          <w:snapToGrid w:val="0"/>
          <w:color w:val="000000"/>
          <w:spacing w:val="2"/>
          <w:kern w:val="0"/>
          <w:sz w:val="28"/>
          <w:szCs w:val="28"/>
          <w:highlight w:val="none"/>
          <w:lang w:val="en-US" w:eastAsia="zh-CN"/>
          <w14:ligatures w14:val="standardContextual"/>
        </w:rPr>
        <w:t>6</w:t>
      </w:r>
      <w:r>
        <w:rPr>
          <w:rFonts w:hint="eastAsia" w:ascii="仿宋_GB2312" w:hAnsi="仿宋" w:eastAsia="仿宋_GB2312" w:cs="仿宋"/>
          <w:snapToGrid w:val="0"/>
          <w:color w:val="000000"/>
          <w:spacing w:val="2"/>
          <w:kern w:val="0"/>
          <w:sz w:val="28"/>
          <w:szCs w:val="28"/>
          <w:highlight w:val="none"/>
          <w:lang w:eastAsia="zh-CN"/>
          <w14:ligatures w14:val="standardContextual"/>
        </w:rPr>
        <w:t>年海</w:t>
      </w:r>
      <w:r>
        <w:rPr>
          <w:rFonts w:hint="eastAsia" w:ascii="仿宋_GB2312" w:hAnsi="仿宋" w:eastAsia="仿宋_GB2312" w:cs="仿宋"/>
          <w:snapToGrid w:val="0"/>
          <w:color w:val="000000"/>
          <w:spacing w:val="2"/>
          <w:kern w:val="0"/>
          <w:sz w:val="28"/>
          <w:szCs w:val="28"/>
          <w:lang w:eastAsia="zh-CN"/>
          <w14:ligatures w14:val="standardContextual"/>
        </w:rPr>
        <w:t>南省高等职业院校技能大赛</w:t>
      </w:r>
      <w:r>
        <w:rPr>
          <w:rFonts w:hint="eastAsia" w:ascii="仿宋_GB2312" w:hAnsi="仿宋" w:eastAsia="仿宋_GB2312" w:cs="仿宋"/>
          <w:snapToGrid w:val="0"/>
          <w:color w:val="000000"/>
          <w:spacing w:val="-1"/>
          <w:kern w:val="0"/>
          <w:sz w:val="28"/>
          <w:szCs w:val="28"/>
          <w:lang w:eastAsia="zh-CN"/>
          <w14:ligatures w14:val="standardContextual"/>
        </w:rPr>
        <w:t>幼儿教育技</w:t>
      </w:r>
      <w:r>
        <w:rPr>
          <w:rFonts w:hint="eastAsia" w:ascii="仿宋_GB2312" w:hAnsi="仿宋" w:eastAsia="仿宋_GB2312" w:cs="仿宋"/>
          <w:snapToGrid w:val="0"/>
          <w:color w:val="000000"/>
          <w:spacing w:val="-2"/>
          <w:kern w:val="0"/>
          <w:sz w:val="28"/>
          <w:szCs w:val="28"/>
          <w:lang w:eastAsia="zh-CN"/>
          <w14:ligatures w14:val="standardContextual"/>
        </w:rPr>
        <w:t>能</w:t>
      </w:r>
      <w:r>
        <w:rPr>
          <w:rFonts w:hint="eastAsia" w:ascii="仿宋_GB2312" w:hAnsi="仿宋" w:eastAsia="仿宋_GB2312" w:cs="仿宋"/>
          <w:snapToGrid w:val="0"/>
          <w:color w:val="000000"/>
          <w:spacing w:val="-1"/>
          <w:kern w:val="0"/>
          <w:sz w:val="28"/>
          <w:szCs w:val="28"/>
          <w:lang w:eastAsia="zh-CN"/>
          <w14:ligatures w14:val="standardContextual"/>
        </w:rPr>
        <w:t>竞赛，搭建起</w:t>
      </w:r>
      <w:r>
        <w:rPr>
          <w:rFonts w:hint="eastAsia" w:ascii="仿宋_GB2312" w:hAnsi="仿宋" w:eastAsia="仿宋_GB2312" w:cs="仿宋"/>
          <w:snapToGrid w:val="0"/>
          <w:color w:val="000000"/>
          <w:spacing w:val="-1"/>
          <w:kern w:val="0"/>
          <w:sz w:val="28"/>
          <w:szCs w:val="28"/>
          <w:lang w:val="en-US" w:eastAsia="zh-CN"/>
          <w14:ligatures w14:val="standardContextual"/>
        </w:rPr>
        <w:t>了</w:t>
      </w:r>
      <w:r>
        <w:rPr>
          <w:rFonts w:hint="eastAsia" w:ascii="仿宋_GB2312" w:hAnsi="仿宋" w:eastAsia="仿宋_GB2312" w:cs="仿宋"/>
          <w:snapToGrid w:val="0"/>
          <w:color w:val="000000"/>
          <w:spacing w:val="-1"/>
          <w:kern w:val="0"/>
          <w:sz w:val="28"/>
          <w:szCs w:val="28"/>
          <w:lang w:eastAsia="zh-CN"/>
          <w14:ligatures w14:val="standardContextual"/>
        </w:rPr>
        <w:t>海南省高等职业院校师生技能展示</w:t>
      </w:r>
      <w:r>
        <w:rPr>
          <w:rFonts w:hint="eastAsia" w:ascii="仿宋_GB2312" w:hAnsi="仿宋" w:eastAsia="仿宋_GB2312" w:cs="仿宋"/>
          <w:snapToGrid w:val="0"/>
          <w:color w:val="000000"/>
          <w:spacing w:val="-2"/>
          <w:kern w:val="0"/>
          <w:sz w:val="28"/>
          <w:szCs w:val="28"/>
          <w:lang w:eastAsia="zh-CN"/>
          <w14:ligatures w14:val="standardContextual"/>
        </w:rPr>
        <w:t>与交流的桥梁，展现了职业</w:t>
      </w:r>
      <w:r>
        <w:rPr>
          <w:rFonts w:hint="eastAsia" w:ascii="仿宋_GB2312" w:hAnsi="仿宋" w:eastAsia="仿宋_GB2312" w:cs="仿宋"/>
          <w:snapToGrid w:val="0"/>
          <w:color w:val="000000"/>
          <w:spacing w:val="-1"/>
          <w:kern w:val="0"/>
          <w:sz w:val="28"/>
          <w:szCs w:val="28"/>
          <w:lang w:eastAsia="zh-CN"/>
          <w14:ligatures w14:val="standardContextual"/>
        </w:rPr>
        <w:t>教育在民生领域的育人成果。赛事强调“真问题、真场景”的技能应用，通过真实岗位需求的模拟考核，推动职业教育教学标准与</w:t>
      </w:r>
      <w:r>
        <w:rPr>
          <w:rFonts w:hint="eastAsia" w:ascii="仿宋_GB2312" w:hAnsi="仿宋" w:eastAsia="仿宋_GB2312" w:cs="仿宋"/>
          <w:snapToGrid w:val="0"/>
          <w:color w:val="000000"/>
          <w:spacing w:val="-2"/>
          <w:kern w:val="0"/>
          <w:sz w:val="28"/>
          <w:szCs w:val="28"/>
          <w:lang w:eastAsia="zh-CN"/>
          <w14:ligatures w14:val="standardContextual"/>
        </w:rPr>
        <w:t>行业标准的深度融合，助力培养兼具</w:t>
      </w:r>
      <w:r>
        <w:rPr>
          <w:rFonts w:hint="eastAsia" w:ascii="仿宋_GB2312" w:hAnsi="仿宋" w:eastAsia="仿宋_GB2312" w:cs="仿宋"/>
          <w:snapToGrid w:val="0"/>
          <w:color w:val="000000"/>
          <w:spacing w:val="-1"/>
          <w:kern w:val="0"/>
          <w:sz w:val="28"/>
          <w:szCs w:val="28"/>
          <w:lang w:eastAsia="zh-CN"/>
          <w14:ligatures w14:val="standardContextual"/>
        </w:rPr>
        <w:t>专业能力与职业素养的复合型人才。</w:t>
      </w:r>
    </w:p>
    <w:p w14:paraId="538BEBE1">
      <w:pPr>
        <w:widowControl/>
        <w:kinsoku w:val="0"/>
        <w:autoSpaceDE w:val="0"/>
        <w:autoSpaceDN w:val="0"/>
        <w:adjustRightInd w:val="0"/>
        <w:snapToGrid w:val="0"/>
        <w:spacing w:line="540" w:lineRule="exact"/>
        <w:ind w:firstLine="552" w:firstLineChars="200"/>
        <w:jc w:val="both"/>
        <w:textAlignment w:val="baseline"/>
        <w:rPr>
          <w:rFonts w:hint="eastAsia" w:ascii="仿宋_GB2312" w:hAnsi="仿宋" w:eastAsia="仿宋_GB2312" w:cs="仿宋"/>
          <w:snapToGrid w:val="0"/>
          <w:color w:val="000000"/>
          <w:spacing w:val="-1"/>
          <w:kern w:val="0"/>
          <w:sz w:val="28"/>
          <w:szCs w:val="28"/>
          <w:lang w:eastAsia="zh-CN"/>
          <w14:ligatures w14:val="standardContextual"/>
        </w:rPr>
      </w:pPr>
      <w:r>
        <w:rPr>
          <w:rFonts w:hint="eastAsia" w:ascii="仿宋_GB2312" w:hAnsi="仿宋" w:eastAsia="仿宋_GB2312" w:cs="仿宋"/>
          <w:snapToGrid w:val="0"/>
          <w:color w:val="000000"/>
          <w:spacing w:val="-2"/>
          <w:kern w:val="0"/>
          <w:sz w:val="28"/>
          <w:szCs w:val="28"/>
          <w:lang w:eastAsia="zh-CN"/>
          <w14:ligatures w14:val="standardContextual"/>
        </w:rPr>
        <w:t>本大赛办赛规模和影响力持续提升，大赛成果不断转化为专业人才培养方案、课程和教学内容，有效推进了校企合作和实习实训基地建设，在引领职业教育</w:t>
      </w:r>
      <w:r>
        <w:rPr>
          <w:rFonts w:hint="eastAsia" w:ascii="仿宋_GB2312" w:hAnsi="Times New Roman" w:eastAsia="仿宋_GB2312" w:cs="Times New Roman"/>
          <w:snapToGrid w:val="0"/>
          <w:color w:val="000000"/>
          <w:spacing w:val="-2"/>
          <w:kern w:val="0"/>
          <w:sz w:val="28"/>
          <w:szCs w:val="28"/>
          <w:lang w:eastAsia="zh-CN"/>
          <w14:ligatures w14:val="standardContextual"/>
        </w:rPr>
        <w:t>“</w:t>
      </w:r>
      <w:r>
        <w:rPr>
          <w:rFonts w:hint="eastAsia" w:ascii="仿宋_GB2312" w:hAnsi="Times New Roman" w:eastAsia="仿宋_GB2312" w:cs="Times New Roman"/>
          <w:snapToGrid w:val="0"/>
          <w:color w:val="000000"/>
          <w:spacing w:val="-36"/>
          <w:kern w:val="0"/>
          <w:sz w:val="28"/>
          <w:szCs w:val="28"/>
          <w:lang w:eastAsia="zh-CN"/>
          <w14:ligatures w14:val="standardContextual"/>
        </w:rPr>
        <w:t xml:space="preserve"> </w:t>
      </w:r>
      <w:r>
        <w:rPr>
          <w:rFonts w:hint="eastAsia" w:ascii="仿宋_GB2312" w:hAnsi="仿宋" w:eastAsia="仿宋_GB2312" w:cs="仿宋"/>
          <w:snapToGrid w:val="0"/>
          <w:color w:val="000000"/>
          <w:spacing w:val="-2"/>
          <w:kern w:val="0"/>
          <w:sz w:val="28"/>
          <w:szCs w:val="28"/>
          <w:lang w:eastAsia="zh-CN"/>
          <w14:ligatures w14:val="standardContextual"/>
        </w:rPr>
        <w:t>三</w:t>
      </w:r>
      <w:r>
        <w:rPr>
          <w:rFonts w:hint="eastAsia" w:ascii="仿宋_GB2312" w:hAnsi="仿宋" w:eastAsia="仿宋_GB2312" w:cs="仿宋"/>
          <w:snapToGrid w:val="0"/>
          <w:color w:val="000000"/>
          <w:spacing w:val="-3"/>
          <w:kern w:val="0"/>
          <w:sz w:val="28"/>
          <w:szCs w:val="28"/>
          <w:lang w:eastAsia="zh-CN"/>
          <w14:ligatures w14:val="standardContextual"/>
        </w:rPr>
        <w:t>教</w:t>
      </w:r>
      <w:r>
        <w:rPr>
          <w:rFonts w:hint="eastAsia" w:ascii="仿宋_GB2312" w:hAnsi="Times New Roman" w:eastAsia="仿宋_GB2312" w:cs="Times New Roman"/>
          <w:snapToGrid w:val="0"/>
          <w:color w:val="000000"/>
          <w:spacing w:val="-3"/>
          <w:kern w:val="0"/>
          <w:sz w:val="28"/>
          <w:szCs w:val="28"/>
          <w:lang w:eastAsia="zh-CN"/>
          <w14:ligatures w14:val="standardContextual"/>
        </w:rPr>
        <w:t>”</w:t>
      </w:r>
      <w:r>
        <w:rPr>
          <w:rFonts w:hint="eastAsia" w:ascii="仿宋_GB2312" w:hAnsi="Times New Roman" w:eastAsia="仿宋_GB2312" w:cs="Times New Roman"/>
          <w:snapToGrid w:val="0"/>
          <w:color w:val="000000"/>
          <w:spacing w:val="-31"/>
          <w:kern w:val="0"/>
          <w:sz w:val="28"/>
          <w:szCs w:val="28"/>
          <w:lang w:eastAsia="zh-CN"/>
          <w14:ligatures w14:val="standardContextual"/>
        </w:rPr>
        <w:t xml:space="preserve"> </w:t>
      </w:r>
      <w:r>
        <w:rPr>
          <w:rFonts w:hint="eastAsia" w:ascii="仿宋_GB2312" w:hAnsi="仿宋" w:eastAsia="仿宋_GB2312" w:cs="仿宋"/>
          <w:snapToGrid w:val="0"/>
          <w:color w:val="000000"/>
          <w:spacing w:val="-3"/>
          <w:kern w:val="0"/>
          <w:sz w:val="28"/>
          <w:szCs w:val="28"/>
          <w:lang w:eastAsia="zh-CN"/>
          <w14:ligatures w14:val="standardContextual"/>
        </w:rPr>
        <w:t>改</w:t>
      </w:r>
      <w:r>
        <w:rPr>
          <w:rFonts w:hint="eastAsia" w:ascii="仿宋_GB2312" w:hAnsi="仿宋" w:eastAsia="仿宋_GB2312" w:cs="仿宋"/>
          <w:snapToGrid w:val="0"/>
          <w:color w:val="000000"/>
          <w:spacing w:val="-1"/>
          <w:kern w:val="0"/>
          <w:sz w:val="28"/>
          <w:szCs w:val="28"/>
          <w:lang w:eastAsia="zh-CN"/>
          <w14:ligatures w14:val="standardContextual"/>
        </w:rPr>
        <w:t>革、提高技术技能人才培养质量、促进高质量就</w:t>
      </w:r>
      <w:r>
        <w:rPr>
          <w:rFonts w:hint="eastAsia" w:ascii="仿宋_GB2312" w:hAnsi="仿宋" w:eastAsia="仿宋_GB2312" w:cs="仿宋"/>
          <w:snapToGrid w:val="0"/>
          <w:color w:val="000000"/>
          <w:spacing w:val="-2"/>
          <w:kern w:val="0"/>
          <w:sz w:val="28"/>
          <w:szCs w:val="28"/>
          <w:lang w:eastAsia="zh-CN"/>
          <w14:ligatures w14:val="standardContextual"/>
        </w:rPr>
        <w:t>业、服务经济社会发展、助力职</w:t>
      </w:r>
      <w:r>
        <w:rPr>
          <w:rFonts w:hint="eastAsia" w:ascii="仿宋_GB2312" w:hAnsi="仿宋" w:eastAsia="仿宋_GB2312" w:cs="仿宋"/>
          <w:snapToGrid w:val="0"/>
          <w:color w:val="000000"/>
          <w:spacing w:val="-1"/>
          <w:kern w:val="0"/>
          <w:sz w:val="28"/>
          <w:szCs w:val="28"/>
          <w:lang w:eastAsia="zh-CN"/>
          <w14:ligatures w14:val="standardContextual"/>
        </w:rPr>
        <w:t>业教育交流合作等方面发挥了重要作用，已经成</w:t>
      </w:r>
      <w:r>
        <w:rPr>
          <w:rFonts w:hint="eastAsia" w:ascii="仿宋_GB2312" w:hAnsi="仿宋" w:eastAsia="仿宋_GB2312" w:cs="仿宋"/>
          <w:snapToGrid w:val="0"/>
          <w:color w:val="000000"/>
          <w:spacing w:val="-2"/>
          <w:kern w:val="0"/>
          <w:sz w:val="28"/>
          <w:szCs w:val="28"/>
          <w:lang w:eastAsia="zh-CN"/>
          <w14:ligatures w14:val="standardContextual"/>
        </w:rPr>
        <w:t>为广大职教师生展示风采、追梦圆梦</w:t>
      </w:r>
      <w:r>
        <w:rPr>
          <w:rFonts w:hint="eastAsia" w:ascii="仿宋_GB2312" w:hAnsi="仿宋" w:eastAsia="仿宋_GB2312" w:cs="仿宋"/>
          <w:snapToGrid w:val="0"/>
          <w:color w:val="000000"/>
          <w:spacing w:val="-1"/>
          <w:kern w:val="0"/>
          <w:sz w:val="28"/>
          <w:szCs w:val="28"/>
          <w:lang w:eastAsia="zh-CN"/>
          <w14:ligatures w14:val="standardContextual"/>
        </w:rPr>
        <w:t>的重要舞台。</w:t>
      </w:r>
    </w:p>
    <w:p w14:paraId="05CB220F">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（二）</w:t>
      </w:r>
      <w:r>
        <w:rPr>
          <w:rFonts w:ascii="楷体_GB2312" w:hAnsi="Times New Roman" w:eastAsia="楷体_GB2312" w:cs="Times New Roman"/>
          <w:b/>
          <w:bCs/>
          <w:snapToGrid w:val="0"/>
          <w:color w:val="000000"/>
          <w:spacing w:val="-5"/>
          <w:kern w:val="0"/>
          <w:sz w:val="28"/>
          <w:szCs w:val="28"/>
          <w:lang w:eastAsia="zh-CN"/>
          <w14:ligatures w14:val="standardContextual"/>
        </w:rPr>
        <w:t>赛</w:t>
      </w:r>
      <w:r>
        <w:rPr>
          <w:rFonts w:hint="eastAsia" w:ascii="楷体_GB2312" w:hAnsi="Times New Roman" w:eastAsia="楷体_GB2312" w:cs="Times New Roman"/>
          <w:b/>
          <w:bCs/>
          <w:snapToGrid w:val="0"/>
          <w:color w:val="000000"/>
          <w:spacing w:val="-5"/>
          <w:kern w:val="0"/>
          <w:sz w:val="28"/>
          <w:szCs w:val="28"/>
          <w:lang w:eastAsia="zh-CN"/>
          <w14:ligatures w14:val="standardContextual"/>
        </w:rPr>
        <w:t>事</w:t>
      </w:r>
      <w:r>
        <w:rPr>
          <w:rFonts w:ascii="楷体_GB2312" w:hAnsi="Times New Roman" w:eastAsia="楷体_GB2312" w:cs="Times New Roman"/>
          <w:b/>
          <w:bCs/>
          <w:snapToGrid w:val="0"/>
          <w:color w:val="000000"/>
          <w:spacing w:val="-5"/>
          <w:kern w:val="0"/>
          <w:sz w:val="28"/>
          <w:szCs w:val="28"/>
          <w:lang w:eastAsia="zh-CN"/>
          <w14:ligatures w14:val="standardContextual"/>
        </w:rPr>
        <w:t>内容</w:t>
      </w:r>
    </w:p>
    <w:p w14:paraId="02A8B1A0">
      <w:pPr>
        <w:widowControl/>
        <w:kinsoku w:val="0"/>
        <w:autoSpaceDE w:val="0"/>
        <w:autoSpaceDN w:val="0"/>
        <w:adjustRightInd w:val="0"/>
        <w:snapToGrid w:val="0"/>
        <w:spacing w:line="540" w:lineRule="exact"/>
        <w:ind w:firstLine="552" w:firstLineChars="200"/>
        <w:jc w:val="both"/>
        <w:textAlignment w:val="baseline"/>
        <w:rPr>
          <w:rFonts w:hint="eastAsia" w:ascii="仿宋_GB2312" w:hAnsi="Times New Roman" w:eastAsia="仿宋_GB2312" w:cs="Times New Roman"/>
          <w:b/>
          <w:bCs/>
          <w:snapToGrid w:val="0"/>
          <w:color w:val="000000"/>
          <w:spacing w:val="2"/>
          <w:kern w:val="0"/>
          <w:sz w:val="28"/>
          <w:szCs w:val="28"/>
          <w:lang w:eastAsia="zh-CN"/>
          <w14:ligatures w14:val="standardContextual"/>
        </w:rPr>
      </w:pPr>
      <w:r>
        <w:rPr>
          <w:rFonts w:hint="eastAsia" w:ascii="仿宋_GB2312" w:hAnsi="仿宋" w:eastAsia="仿宋_GB2312" w:cs="仿宋"/>
          <w:snapToGrid w:val="0"/>
          <w:color w:val="000000"/>
          <w:spacing w:val="-2"/>
          <w:kern w:val="0"/>
          <w:sz w:val="28"/>
          <w:szCs w:val="28"/>
          <w:lang w:eastAsia="zh-CN"/>
          <w14:ligatures w14:val="standardContextual"/>
        </w:rPr>
        <w:t>本赛项设置两个竞赛环节，分别为项目一“幼儿游戏观察与分析”和项目二“自选项目技能展示”。两个环节依次进行、连续实施。参赛队完成项目一并按要求提交答题纸后，随即进入项目二，必要的设备调试及场地准备按照赛场统一安排执行。</w:t>
      </w:r>
    </w:p>
    <w:p w14:paraId="153AE22F">
      <w:pPr>
        <w:widowControl/>
        <w:kinsoku/>
        <w:overflowPunct w:val="0"/>
        <w:autoSpaceDE w:val="0"/>
        <w:autoSpaceDN w:val="0"/>
        <w:adjustRightInd w:val="0"/>
        <w:snapToGrid w:val="0"/>
        <w:spacing w:line="540" w:lineRule="exact"/>
        <w:ind w:firstLine="570" w:firstLineChars="200"/>
        <w:jc w:val="both"/>
        <w:textAlignment w:val="baseline"/>
        <w:rPr>
          <w:rFonts w:hint="eastAsia" w:ascii="仿宋_GB2312" w:hAnsi="Times New Roman" w:eastAsia="仿宋_GB2312" w:cs="Times New Roman"/>
          <w:b/>
          <w:bCs/>
          <w:snapToGrid w:val="0"/>
          <w:color w:val="000000"/>
          <w:spacing w:val="2"/>
          <w:kern w:val="0"/>
          <w:sz w:val="28"/>
          <w:szCs w:val="28"/>
          <w:lang w:eastAsia="zh-CN"/>
          <w14:ligatures w14:val="standardContextual"/>
        </w:rPr>
      </w:pPr>
      <w:r>
        <w:rPr>
          <w:rFonts w:hint="eastAsia" w:ascii="仿宋_GB2312" w:hAnsi="Times New Roman" w:eastAsia="仿宋_GB2312" w:cs="Times New Roman"/>
          <w:b/>
          <w:bCs/>
          <w:snapToGrid w:val="0"/>
          <w:color w:val="000000"/>
          <w:spacing w:val="2"/>
          <w:kern w:val="0"/>
          <w:sz w:val="28"/>
          <w:szCs w:val="28"/>
          <w:lang w:eastAsia="zh-CN"/>
          <w14:ligatures w14:val="standardContextual"/>
        </w:rPr>
        <w:t>项目</w:t>
      </w:r>
      <w:r>
        <w:rPr>
          <w:rFonts w:hint="eastAsia" w:ascii="仿宋_GB2312" w:hAnsi="Times New Roman" w:eastAsia="仿宋_GB2312" w:cs="Times New Roman"/>
          <w:b/>
          <w:bCs/>
          <w:snapToGrid w:val="0"/>
          <w:color w:val="000000"/>
          <w:spacing w:val="2"/>
          <w:kern w:val="0"/>
          <w:sz w:val="28"/>
          <w:szCs w:val="28"/>
          <w:lang w:val="en-US" w:eastAsia="zh-CN"/>
          <w14:ligatures w14:val="standardContextual"/>
        </w:rPr>
        <w:t>一</w:t>
      </w:r>
      <w:r>
        <w:rPr>
          <w:rFonts w:hint="eastAsia" w:ascii="仿宋_GB2312" w:hAnsi="Times New Roman" w:eastAsia="仿宋_GB2312" w:cs="Times New Roman"/>
          <w:b/>
          <w:bCs/>
          <w:snapToGrid w:val="0"/>
          <w:color w:val="000000"/>
          <w:spacing w:val="2"/>
          <w:kern w:val="0"/>
          <w:sz w:val="28"/>
          <w:szCs w:val="28"/>
          <w:lang w:eastAsia="zh-CN"/>
          <w14:ligatures w14:val="standardContextual"/>
        </w:rPr>
        <w:t xml:space="preserve">：幼儿游戏观察与分析 </w:t>
      </w:r>
    </w:p>
    <w:p w14:paraId="051279E5">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参赛队观看一段幼儿游戏活动视频，重点观察视频中指定的一名幼儿，并做好观察记录。依据《3—6岁儿童学习与发展指南》和《幼儿园保育教育质量评估指南》的有关精神，结合具体观察事实，分析幼儿的游戏兴趣、行为表现及可能的学习需要，并结合游戏情境，分析教师应发挥的作用，提出适宜的教育支持建议。</w:t>
      </w:r>
    </w:p>
    <w:p w14:paraId="672E5966">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比赛视频及答题纸</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笔</w:t>
      </w:r>
      <w:r>
        <w:rPr>
          <w:rFonts w:hint="eastAsia" w:ascii="仿宋_GB2312" w:hAnsi="Times New Roman" w:eastAsia="仿宋_GB2312" w:cs="Times New Roman"/>
          <w:snapToGrid w:val="0"/>
          <w:color w:val="000000"/>
          <w:spacing w:val="2"/>
          <w:kern w:val="0"/>
          <w:sz w:val="28"/>
          <w:szCs w:val="28"/>
          <w:lang w:eastAsia="zh-CN"/>
          <w14:ligatures w14:val="standardContextual"/>
        </w:rPr>
        <w:t>由赛项统一提供。项目一以参赛队为单位进行，团队成员共同观察、讨论与分析，并在规定时间内完成书面答卷。每支参赛队仅提交一份答题纸，由裁判依据相应评分标准进行评定。</w:t>
      </w:r>
    </w:p>
    <w:p w14:paraId="3738D29B">
      <w:pPr>
        <w:widowControl/>
        <w:kinsoku/>
        <w:overflowPunct w:val="0"/>
        <w:autoSpaceDE w:val="0"/>
        <w:autoSpaceDN w:val="0"/>
        <w:adjustRightInd w:val="0"/>
        <w:snapToGrid w:val="0"/>
        <w:spacing w:line="540" w:lineRule="exact"/>
        <w:ind w:firstLine="570" w:firstLineChars="200"/>
        <w:jc w:val="both"/>
        <w:textAlignment w:val="baseline"/>
        <w:rPr>
          <w:rFonts w:hint="eastAsia" w:ascii="仿宋_GB2312" w:hAnsi="Times New Roman" w:eastAsia="仿宋_GB2312" w:cs="Times New Roman"/>
          <w:b/>
          <w:bCs/>
          <w:snapToGrid w:val="0"/>
          <w:color w:val="000000"/>
          <w:spacing w:val="2"/>
          <w:kern w:val="0"/>
          <w:sz w:val="28"/>
          <w:szCs w:val="28"/>
          <w:lang w:eastAsia="zh-CN"/>
          <w14:ligatures w14:val="standardContextual"/>
        </w:rPr>
      </w:pPr>
      <w:r>
        <w:rPr>
          <w:rFonts w:hint="eastAsia" w:ascii="仿宋_GB2312" w:hAnsi="Times New Roman" w:eastAsia="仿宋_GB2312" w:cs="Times New Roman"/>
          <w:b/>
          <w:bCs/>
          <w:snapToGrid w:val="0"/>
          <w:color w:val="000000"/>
          <w:spacing w:val="2"/>
          <w:kern w:val="0"/>
          <w:sz w:val="28"/>
          <w:szCs w:val="28"/>
          <w:lang w:val="en-US" w:eastAsia="zh-CN"/>
          <w14:ligatures w14:val="standardContextual"/>
        </w:rPr>
        <w:t>项目二:自选项目技能展示</w:t>
      </w:r>
    </w:p>
    <w:p w14:paraId="53E590CE">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参赛队伍依据赛项设置，结合所学专业和教育教学实际，围绕生产、管理、服务一线真问题、真场景，自主确定参赛项目名称，自主设计参赛项目内容，自主选择参赛设备，展示真技能。</w:t>
      </w:r>
    </w:p>
    <w:p w14:paraId="30E50C77">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参赛队根据工作任务，按团队成员分工，同步进行技能操作和现场讲解。技能操作重点展示专业技能熟练程度、规范程度以及解决技术难题的创新能力，现场讲解主要介绍总体思路、技能要点、主要成果、项目创新等。时长可由各参赛队伍根据项目实际需要确定，不超过1小时。竞赛内容应围绕“技能水平、职业素养、应用价值、团队合作、创新创意”要素设计，突出能力导向、解决实际问题、体现创新因素、确保可评可比。</w:t>
      </w:r>
    </w:p>
    <w:p w14:paraId="588B4879">
      <w:pPr>
        <w:widowControl/>
        <w:kinsoku/>
        <w:overflowPunct w:val="0"/>
        <w:autoSpaceDE w:val="0"/>
        <w:autoSpaceDN w:val="0"/>
        <w:adjustRightInd w:val="0"/>
        <w:snapToGrid w:val="0"/>
        <w:spacing w:line="540" w:lineRule="exact"/>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p>
    <w:p w14:paraId="55125400">
      <w:pPr>
        <w:widowControl/>
        <w:numPr>
          <w:ilvl w:val="0"/>
          <w:numId w:val="1"/>
        </w:numPr>
        <w:kinsoku w:val="0"/>
        <w:autoSpaceDE w:val="0"/>
        <w:autoSpaceDN w:val="0"/>
        <w:adjustRightInd w:val="0"/>
        <w:snapToGrid w:val="0"/>
        <w:spacing w:line="540" w:lineRule="exact"/>
        <w:ind w:left="567"/>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hint="eastAsia" w:ascii="黑体" w:hAnsi="黑体" w:eastAsia="黑体" w:cs="黑体"/>
          <w:snapToGrid w:val="0"/>
          <w:color w:val="000000"/>
          <w:spacing w:val="-8"/>
          <w:kern w:val="0"/>
          <w:sz w:val="28"/>
          <w:szCs w:val="28"/>
          <w:lang w:eastAsia="zh-CN"/>
          <w14:ligatures w14:val="standardContextual"/>
        </w:rPr>
        <w:t>赛事组织流程</w:t>
      </w:r>
    </w:p>
    <w:p w14:paraId="55107B44">
      <w:pPr>
        <w:widowControl/>
        <w:numPr>
          <w:ilvl w:val="0"/>
          <w:numId w:val="0"/>
        </w:numPr>
        <w:kinsoku w:val="0"/>
        <w:autoSpaceDE w:val="0"/>
        <w:autoSpaceDN w:val="0"/>
        <w:adjustRightInd w:val="0"/>
        <w:snapToGrid w:val="0"/>
        <w:spacing w:line="540" w:lineRule="exact"/>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p>
    <w:p w14:paraId="3CF33514">
      <w:pPr>
        <w:widowControl/>
        <w:kinsoku w:val="0"/>
        <w:autoSpaceDE w:val="0"/>
        <w:autoSpaceDN w:val="0"/>
        <w:adjustRightInd w:val="0"/>
        <w:snapToGrid w:val="0"/>
        <w:spacing w:before="239" w:line="240" w:lineRule="auto"/>
        <w:contextualSpacing/>
        <w:jc w:val="center"/>
        <w:textAlignment w:val="baseline"/>
        <w:rPr>
          <w:rFonts w:hint="eastAsia" w:ascii="黑体" w:hAnsi="黑体" w:eastAsia="黑体" w:cs="黑体"/>
          <w:snapToGrid w:val="0"/>
          <w:color w:val="000000"/>
          <w:spacing w:val="-9"/>
          <w:kern w:val="0"/>
          <w:sz w:val="24"/>
          <w:szCs w:val="24"/>
          <w:lang w:eastAsia="zh-CN"/>
          <w14:ligatures w14:val="standardContextual"/>
        </w:rPr>
      </w:pPr>
      <w:r>
        <w:rPr>
          <w:rFonts w:hint="eastAsia" w:ascii="黑体" w:hAnsi="黑体" w:eastAsia="黑体" w:cs="黑体"/>
          <w:snapToGrid w:val="0"/>
          <w:color w:val="000000"/>
          <w:spacing w:val="-9"/>
          <w:kern w:val="0"/>
          <w:sz w:val="24"/>
          <w:szCs w:val="24"/>
          <w:lang w:eastAsia="zh-CN"/>
          <w14:ligatures w14:val="standardContextual"/>
        </w:rPr>
        <w:drawing>
          <wp:inline distT="0" distB="0" distL="114300" distR="114300">
            <wp:extent cx="4641850" cy="5323205"/>
            <wp:effectExtent l="0" t="0" r="6350" b="10795"/>
            <wp:docPr id="1" name="图片 1" descr="截屏2025-11-11 下午4.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5-11-11 下午4.04.40"/>
                    <pic:cNvPicPr>
                      <a:picLocks noChangeAspect="1"/>
                    </pic:cNvPicPr>
                  </pic:nvPicPr>
                  <pic:blipFill>
                    <a:blip r:embed="rId6"/>
                    <a:srcRect b="699"/>
                    <a:stretch>
                      <a:fillRect/>
                    </a:stretch>
                  </pic:blipFill>
                  <pic:spPr>
                    <a:xfrm>
                      <a:off x="0" y="0"/>
                      <a:ext cx="4641850" cy="5323205"/>
                    </a:xfrm>
                    <a:prstGeom prst="rect">
                      <a:avLst/>
                    </a:prstGeom>
                  </pic:spPr>
                </pic:pic>
              </a:graphicData>
            </a:graphic>
          </wp:inline>
        </w:drawing>
      </w:r>
    </w:p>
    <w:p w14:paraId="270E64B1">
      <w:pPr>
        <w:widowControl/>
        <w:kinsoku w:val="0"/>
        <w:autoSpaceDE w:val="0"/>
        <w:autoSpaceDN w:val="0"/>
        <w:adjustRightInd w:val="0"/>
        <w:snapToGrid w:val="0"/>
        <w:spacing w:before="239" w:line="540" w:lineRule="exact"/>
        <w:contextualSpacing/>
        <w:jc w:val="center"/>
        <w:textAlignment w:val="baseline"/>
        <w:rPr>
          <w:rFonts w:hint="eastAsia" w:ascii="黑体" w:hAnsi="黑体" w:eastAsia="黑体" w:cs="黑体"/>
          <w:snapToGrid w:val="0"/>
          <w:color w:val="000000"/>
          <w:spacing w:val="-9"/>
          <w:kern w:val="0"/>
          <w:sz w:val="24"/>
          <w:szCs w:val="24"/>
          <w:lang w:eastAsia="zh-CN"/>
          <w14:ligatures w14:val="standardContextual"/>
        </w:rPr>
      </w:pPr>
      <w:r>
        <w:rPr>
          <w:rFonts w:hint="eastAsia" w:ascii="黑体" w:hAnsi="黑体" w:eastAsia="黑体" w:cs="黑体"/>
          <w:snapToGrid w:val="0"/>
          <w:color w:val="000000"/>
          <w:spacing w:val="-9"/>
          <w:kern w:val="0"/>
          <w:sz w:val="24"/>
          <w:szCs w:val="24"/>
          <w:lang w:eastAsia="zh-CN"/>
          <w14:ligatures w14:val="standardContextual"/>
        </w:rPr>
        <w:t>图1 赛事组织流程图</w:t>
      </w:r>
    </w:p>
    <w:p w14:paraId="085562BC">
      <w:pPr>
        <w:widowControl/>
        <w:kinsoku/>
        <w:autoSpaceDE/>
        <w:autoSpaceDN/>
        <w:adjustRightInd/>
        <w:snapToGrid/>
        <w:jc w:val="left"/>
        <w:textAlignment w:val="auto"/>
        <w:rPr>
          <w:rFonts w:hint="eastAsia" w:ascii="黑体" w:hAnsi="黑体" w:eastAsia="黑体" w:cs="黑体"/>
          <w:snapToGrid w:val="0"/>
          <w:color w:val="000000"/>
          <w:spacing w:val="-9"/>
          <w:kern w:val="0"/>
          <w:sz w:val="28"/>
          <w:szCs w:val="28"/>
          <w:lang w:eastAsia="zh-CN"/>
          <w14:ligatures w14:val="standardContextual"/>
        </w:rPr>
      </w:pPr>
      <w:r>
        <w:rPr>
          <w:rFonts w:hint="eastAsia" w:ascii="黑体" w:hAnsi="黑体" w:eastAsia="黑体" w:cs="黑体"/>
          <w:snapToGrid w:val="0"/>
          <w:color w:val="000000"/>
          <w:spacing w:val="-9"/>
          <w:kern w:val="0"/>
          <w:sz w:val="28"/>
          <w:szCs w:val="28"/>
          <w:lang w:eastAsia="zh-CN"/>
          <w14:ligatures w14:val="standardContextual"/>
        </w:rPr>
        <w:br w:type="page"/>
      </w:r>
    </w:p>
    <w:p w14:paraId="19E01046">
      <w:pPr>
        <w:widowControl/>
        <w:numPr>
          <w:ilvl w:val="0"/>
          <w:numId w:val="1"/>
        </w:numPr>
        <w:kinsoku w:val="0"/>
        <w:autoSpaceDE w:val="0"/>
        <w:autoSpaceDN w:val="0"/>
        <w:adjustRightInd w:val="0"/>
        <w:snapToGrid w:val="0"/>
        <w:spacing w:line="540" w:lineRule="exact"/>
        <w:ind w:left="567"/>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hint="eastAsia" w:ascii="黑体" w:hAnsi="黑体" w:eastAsia="黑体" w:cs="黑体"/>
          <w:snapToGrid w:val="0"/>
          <w:color w:val="000000"/>
          <w:spacing w:val="-8"/>
          <w:kern w:val="0"/>
          <w:sz w:val="28"/>
          <w:szCs w:val="28"/>
          <w:lang w:eastAsia="zh-CN"/>
          <w14:ligatures w14:val="standardContextual"/>
        </w:rPr>
        <w:t>比赛流程</w:t>
      </w:r>
    </w:p>
    <w:p w14:paraId="5D3F1BFA">
      <w:pPr>
        <w:widowControl/>
        <w:kinsoku w:val="0"/>
        <w:autoSpaceDE w:val="0"/>
        <w:autoSpaceDN w:val="0"/>
        <w:adjustRightInd w:val="0"/>
        <w:snapToGrid w:val="0"/>
        <w:spacing w:line="540" w:lineRule="exact"/>
        <w:ind w:firstLine="541" w:firstLineChars="200"/>
        <w:contextualSpacing/>
        <w:jc w:val="left"/>
        <w:textAlignment w:val="baseline"/>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（一）比赛流程图</w:t>
      </w:r>
    </w:p>
    <w:p w14:paraId="30A50AE0">
      <w:pPr>
        <w:widowControl/>
        <w:kinsoku w:val="0"/>
        <w:autoSpaceDE w:val="0"/>
        <w:autoSpaceDN w:val="0"/>
        <w:adjustRightInd w:val="0"/>
        <w:snapToGrid w:val="0"/>
        <w:ind w:firstLine="2664" w:firstLineChars="1200"/>
        <w:jc w:val="left"/>
        <w:textAlignment w:val="baseline"/>
        <w:rPr>
          <w:rFonts w:ascii="黑体" w:hAnsi="黑体" w:eastAsia="黑体" w:cs="黑体"/>
          <w:snapToGrid w:val="0"/>
          <w:color w:val="000000"/>
          <w:spacing w:val="-9"/>
          <w:kern w:val="0"/>
          <w:sz w:val="24"/>
          <w:szCs w:val="24"/>
          <w:lang w:eastAsia="zh-CN"/>
          <w14:ligatures w14:val="standardContextual"/>
        </w:rPr>
      </w:pPr>
    </w:p>
    <w:p w14:paraId="2D5EBB6C">
      <w:pPr>
        <w:widowControl/>
        <w:kinsoku w:val="0"/>
        <w:autoSpaceDE w:val="0"/>
        <w:autoSpaceDN w:val="0"/>
        <w:adjustRightInd w:val="0"/>
        <w:snapToGrid w:val="0"/>
        <w:jc w:val="center"/>
        <w:textAlignment w:val="baseline"/>
        <w:rPr>
          <w:rFonts w:ascii="黑体" w:hAnsi="黑体" w:eastAsia="黑体" w:cs="黑体"/>
          <w:snapToGrid w:val="0"/>
          <w:color w:val="000000"/>
          <w:spacing w:val="-9"/>
          <w:kern w:val="0"/>
          <w:sz w:val="24"/>
          <w:szCs w:val="24"/>
          <w:lang w:eastAsia="zh-CN"/>
          <w14:ligatures w14:val="standardContextual"/>
        </w:rPr>
      </w:pPr>
      <w:r>
        <w:rPr>
          <w:rFonts w:ascii="黑体" w:hAnsi="黑体" w:eastAsia="黑体" w:cs="黑体"/>
          <w:snapToGrid w:val="0"/>
          <w:color w:val="000000"/>
          <w:spacing w:val="-9"/>
          <w:kern w:val="0"/>
          <w:sz w:val="24"/>
          <w:szCs w:val="24"/>
          <w:lang w:eastAsia="zh-CN"/>
          <w14:ligatures w14:val="standardContextual"/>
        </w:rPr>
        <w:drawing>
          <wp:inline distT="0" distB="0" distL="114300" distR="114300">
            <wp:extent cx="3428365" cy="6105525"/>
            <wp:effectExtent l="0" t="0" r="635" b="15875"/>
            <wp:docPr id="5" name="图片 5" descr="截屏2026-10-22 11.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6-10-22 11.23.50"/>
                    <pic:cNvPicPr>
                      <a:picLocks noChangeAspect="1"/>
                    </pic:cNvPicPr>
                  </pic:nvPicPr>
                  <pic:blipFill>
                    <a:blip r:embed="rId7"/>
                    <a:stretch>
                      <a:fillRect/>
                    </a:stretch>
                  </pic:blipFill>
                  <pic:spPr>
                    <a:xfrm>
                      <a:off x="0" y="0"/>
                      <a:ext cx="3428365" cy="6105525"/>
                    </a:xfrm>
                    <a:prstGeom prst="rect">
                      <a:avLst/>
                    </a:prstGeom>
                  </pic:spPr>
                </pic:pic>
              </a:graphicData>
            </a:graphic>
          </wp:inline>
        </w:drawing>
      </w:r>
    </w:p>
    <w:p w14:paraId="749DD847">
      <w:pPr>
        <w:widowControl/>
        <w:kinsoku w:val="0"/>
        <w:autoSpaceDE w:val="0"/>
        <w:autoSpaceDN w:val="0"/>
        <w:adjustRightInd w:val="0"/>
        <w:snapToGrid w:val="0"/>
        <w:ind w:firstLine="3552" w:firstLineChars="1600"/>
        <w:jc w:val="left"/>
        <w:textAlignment w:val="baseline"/>
        <w:rPr>
          <w:rFonts w:hint="eastAsia" w:ascii="黑体" w:hAnsi="黑体" w:eastAsia="黑体" w:cs="黑体"/>
          <w:snapToGrid w:val="0"/>
          <w:color w:val="000000"/>
          <w:spacing w:val="-9"/>
          <w:kern w:val="0"/>
          <w:sz w:val="24"/>
          <w:szCs w:val="24"/>
          <w:lang w:eastAsia="zh-CN"/>
          <w14:ligatures w14:val="standardContextual"/>
        </w:rPr>
      </w:pPr>
      <w:r>
        <w:rPr>
          <w:rFonts w:ascii="黑体" w:hAnsi="黑体" w:eastAsia="黑体" w:cs="黑体"/>
          <w:snapToGrid w:val="0"/>
          <w:color w:val="000000"/>
          <w:spacing w:val="-9"/>
          <w:kern w:val="0"/>
          <w:sz w:val="24"/>
          <w:szCs w:val="24"/>
          <w:lang w:eastAsia="zh-CN"/>
          <w14:ligatures w14:val="standardContextual"/>
        </w:rPr>
        <w:t>图</w:t>
      </w:r>
      <w:r>
        <w:rPr>
          <w:rFonts w:hint="eastAsia" w:ascii="黑体" w:hAnsi="黑体" w:eastAsia="黑体" w:cs="黑体"/>
          <w:snapToGrid w:val="0"/>
          <w:color w:val="000000"/>
          <w:spacing w:val="-9"/>
          <w:kern w:val="0"/>
          <w:sz w:val="24"/>
          <w:szCs w:val="24"/>
          <w:lang w:eastAsia="zh-CN"/>
          <w14:ligatures w14:val="standardContextual"/>
        </w:rPr>
        <w:t>2</w:t>
      </w:r>
      <w:r>
        <w:rPr>
          <w:rFonts w:ascii="黑体" w:hAnsi="黑体" w:eastAsia="黑体" w:cs="黑体"/>
          <w:snapToGrid w:val="0"/>
          <w:color w:val="000000"/>
          <w:spacing w:val="-9"/>
          <w:kern w:val="0"/>
          <w:sz w:val="24"/>
          <w:szCs w:val="24"/>
          <w:lang w:eastAsia="zh-CN"/>
          <w14:ligatures w14:val="standardContextual"/>
        </w:rPr>
        <w:t xml:space="preserve"> 赛事比赛流程图</w:t>
      </w:r>
    </w:p>
    <w:p w14:paraId="38852A2B">
      <w:pPr>
        <w:widowControl/>
        <w:kinsoku/>
        <w:autoSpaceDE/>
        <w:autoSpaceDN/>
        <w:adjustRightInd/>
        <w:snapToGrid/>
        <w:jc w:val="left"/>
        <w:textAlignment w:val="auto"/>
        <w:rPr>
          <w:rFonts w:hint="eastAsia" w:ascii="黑体" w:hAnsi="黑体" w:eastAsia="黑体" w:cs="黑体"/>
          <w:snapToGrid w:val="0"/>
          <w:color w:val="000000"/>
          <w:spacing w:val="-9"/>
          <w:kern w:val="0"/>
          <w:sz w:val="24"/>
          <w:szCs w:val="24"/>
          <w:lang w:eastAsia="zh-CN"/>
          <w14:ligatures w14:val="standardContextual"/>
        </w:rPr>
      </w:pPr>
      <w:r>
        <w:rPr>
          <w:rFonts w:hint="eastAsia" w:ascii="黑体" w:hAnsi="黑体" w:eastAsia="黑体" w:cs="黑体"/>
          <w:snapToGrid w:val="0"/>
          <w:color w:val="000000"/>
          <w:spacing w:val="-9"/>
          <w:kern w:val="0"/>
          <w:sz w:val="24"/>
          <w:szCs w:val="24"/>
          <w:lang w:eastAsia="zh-CN"/>
          <w14:ligatures w14:val="standardContextual"/>
        </w:rPr>
        <w:br w:type="page"/>
      </w:r>
    </w:p>
    <w:p w14:paraId="6A05BCCB">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highlight w:val="none"/>
          <w:lang w:eastAsia="zh-CN"/>
          <w14:ligatures w14:val="standardContextual"/>
        </w:rPr>
      </w:pPr>
      <w:bookmarkStart w:id="0" w:name="_Hlk213369452"/>
      <w:r>
        <w:rPr>
          <w:rFonts w:hint="eastAsia" w:ascii="楷体_GB2312" w:hAnsi="Times New Roman" w:eastAsia="楷体_GB2312" w:cs="Times New Roman"/>
          <w:b/>
          <w:bCs/>
          <w:snapToGrid w:val="0"/>
          <w:color w:val="000000"/>
          <w:spacing w:val="-5"/>
          <w:kern w:val="0"/>
          <w:sz w:val="28"/>
          <w:szCs w:val="28"/>
          <w:highlight w:val="none"/>
          <w:lang w:eastAsia="zh-CN"/>
          <w14:ligatures w14:val="standardContextual"/>
        </w:rPr>
        <w:t>（二）比赛日程安排</w:t>
      </w:r>
    </w:p>
    <w:p w14:paraId="2FC26D8B">
      <w:pPr>
        <w:kinsoku w:val="0"/>
        <w:autoSpaceDE w:val="0"/>
        <w:autoSpaceDN w:val="0"/>
        <w:adjustRightInd w:val="0"/>
        <w:snapToGrid w:val="0"/>
        <w:spacing w:line="540" w:lineRule="exact"/>
        <w:contextualSpacing/>
        <w:jc w:val="center"/>
        <w:textAlignment w:val="baseline"/>
        <w:rPr>
          <w:rFonts w:hint="eastAsia" w:ascii="宋体" w:hAnsi="宋体" w:eastAsia="宋体" w:cs="Arial"/>
          <w:b/>
          <w:bCs/>
          <w:snapToGrid w:val="0"/>
          <w:color w:val="000000"/>
          <w:kern w:val="0"/>
          <w:sz w:val="24"/>
          <w:szCs w:val="24"/>
          <w:lang w:val="en-US" w:eastAsia="zh-CN" w:bidi="ar-SA"/>
          <w14:ligatures w14:val="standardContextual"/>
        </w:rPr>
      </w:pPr>
      <w:r>
        <w:rPr>
          <w:rFonts w:hint="eastAsia" w:ascii="宋体" w:hAnsi="宋体" w:eastAsia="宋体" w:cs="Arial"/>
          <w:b/>
          <w:bCs/>
          <w:snapToGrid w:val="0"/>
          <w:color w:val="000000"/>
          <w:kern w:val="0"/>
          <w:sz w:val="24"/>
          <w:szCs w:val="24"/>
          <w:lang w:val="en-US" w:eastAsia="zh-CN" w:bidi="ar-SA"/>
          <w14:ligatures w14:val="standardContextual"/>
        </w:rPr>
        <w:t>表1  比赛日程安排表</w:t>
      </w:r>
    </w:p>
    <w:tbl>
      <w:tblPr>
        <w:tblStyle w:val="3"/>
        <w:tblW w:w="8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9"/>
        <w:gridCol w:w="1452"/>
        <w:gridCol w:w="1645"/>
        <w:gridCol w:w="4469"/>
      </w:tblGrid>
      <w:tr w14:paraId="321005D0">
        <w:trPr>
          <w:trHeight w:val="565" w:hRule="atLeast"/>
          <w:jc w:val="center"/>
        </w:trPr>
        <w:tc>
          <w:tcPr>
            <w:tcW w:w="1319" w:type="dxa"/>
            <w:vAlign w:val="center"/>
          </w:tcPr>
          <w:p w14:paraId="59E28F28">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日期</w:t>
            </w:r>
          </w:p>
        </w:tc>
        <w:tc>
          <w:tcPr>
            <w:tcW w:w="1452" w:type="dxa"/>
            <w:vAlign w:val="center"/>
          </w:tcPr>
          <w:p w14:paraId="5E710A84">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环节</w:t>
            </w:r>
          </w:p>
        </w:tc>
        <w:tc>
          <w:tcPr>
            <w:tcW w:w="1645" w:type="dxa"/>
            <w:vAlign w:val="center"/>
          </w:tcPr>
          <w:p w14:paraId="5EF626A9">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时间</w:t>
            </w:r>
          </w:p>
        </w:tc>
        <w:tc>
          <w:tcPr>
            <w:tcW w:w="4469" w:type="dxa"/>
            <w:vAlign w:val="center"/>
          </w:tcPr>
          <w:p w14:paraId="3A3AB2CD">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工作内容</w:t>
            </w:r>
          </w:p>
        </w:tc>
      </w:tr>
      <w:tr w14:paraId="7C320B46">
        <w:trPr>
          <w:trHeight w:val="565" w:hRule="atLeast"/>
          <w:jc w:val="center"/>
        </w:trPr>
        <w:tc>
          <w:tcPr>
            <w:tcW w:w="1319" w:type="dxa"/>
            <w:vMerge w:val="restart"/>
            <w:vAlign w:val="center"/>
          </w:tcPr>
          <w:p w14:paraId="71BAC721">
            <w:pPr>
              <w:widowControl w:val="0"/>
              <w:kinsoku w:val="0"/>
              <w:autoSpaceDE w:val="0"/>
              <w:autoSpaceDN w:val="0"/>
              <w:adjustRightInd w:val="0"/>
              <w:snapToGrid w:val="0"/>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报道当天</w:t>
            </w:r>
          </w:p>
        </w:tc>
        <w:tc>
          <w:tcPr>
            <w:tcW w:w="1452" w:type="dxa"/>
            <w:vMerge w:val="restart"/>
            <w:vAlign w:val="center"/>
          </w:tcPr>
          <w:p w14:paraId="7B1E0E53">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 xml:space="preserve">报到、设备存储、领队会议 </w:t>
            </w:r>
          </w:p>
        </w:tc>
        <w:tc>
          <w:tcPr>
            <w:tcW w:w="1645" w:type="dxa"/>
            <w:vAlign w:val="center"/>
          </w:tcPr>
          <w:p w14:paraId="5CC415BB">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14</w:t>
            </w:r>
            <w:r>
              <w:rPr>
                <w:rFonts w:ascii="Times New Roman" w:hAnsi="Times New Roman" w:eastAsia="方正仿宋_GB2312" w:cs="Times New Roman"/>
                <w:snapToGrid w:val="0"/>
                <w:color w:val="000000"/>
                <w:kern w:val="0"/>
                <w:sz w:val="24"/>
                <w:szCs w:val="24"/>
                <w:lang w:val="en-US" w:eastAsia="zh-CN" w:bidi="ar-SA"/>
                <w14:ligatures w14:val="standardContextual"/>
              </w:rPr>
              <w:t>:00-1</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6</w:t>
            </w:r>
            <w:r>
              <w:rPr>
                <w:rFonts w:ascii="Times New Roman" w:hAnsi="Times New Roman" w:eastAsia="方正仿宋_GB2312" w:cs="Times New Roman"/>
                <w:snapToGrid w:val="0"/>
                <w:color w:val="000000"/>
                <w:kern w:val="0"/>
                <w:sz w:val="24"/>
                <w:szCs w:val="24"/>
                <w:lang w:val="en-US" w:eastAsia="zh-CN" w:bidi="ar-SA"/>
                <w14:ligatures w14:val="standardContextual"/>
              </w:rPr>
              <w:t>:</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0</w:t>
            </w:r>
            <w:r>
              <w:rPr>
                <w:rFonts w:ascii="Times New Roman" w:hAnsi="Times New Roman" w:eastAsia="方正仿宋_GB2312" w:cs="Times New Roman"/>
                <w:snapToGrid w:val="0"/>
                <w:color w:val="000000"/>
                <w:kern w:val="0"/>
                <w:sz w:val="24"/>
                <w:szCs w:val="24"/>
                <w:lang w:val="en-US" w:eastAsia="zh-CN" w:bidi="ar-SA"/>
                <w14:ligatures w14:val="standardContextual"/>
              </w:rPr>
              <w:t>0</w:t>
            </w:r>
          </w:p>
        </w:tc>
        <w:tc>
          <w:tcPr>
            <w:tcW w:w="4469" w:type="dxa"/>
            <w:vAlign w:val="center"/>
          </w:tcPr>
          <w:p w14:paraId="45439E34">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参赛队报到、领取资料</w:t>
            </w:r>
          </w:p>
        </w:tc>
      </w:tr>
      <w:tr w14:paraId="2381C6D0">
        <w:trPr>
          <w:trHeight w:val="505" w:hRule="atLeast"/>
          <w:jc w:val="center"/>
        </w:trPr>
        <w:tc>
          <w:tcPr>
            <w:tcW w:w="1319" w:type="dxa"/>
            <w:vMerge w:val="continue"/>
            <w:vAlign w:val="center"/>
          </w:tcPr>
          <w:p w14:paraId="4CC1ED3A">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38BE88B8">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42367A91">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14</w:t>
            </w:r>
            <w:r>
              <w:rPr>
                <w:rFonts w:ascii="Times New Roman" w:hAnsi="Times New Roman" w:eastAsia="方正仿宋_GB2312" w:cs="Times New Roman"/>
                <w:snapToGrid w:val="0"/>
                <w:color w:val="000000"/>
                <w:kern w:val="0"/>
                <w:sz w:val="24"/>
                <w:szCs w:val="24"/>
                <w:lang w:val="en-US" w:eastAsia="zh-CN" w:bidi="ar-SA"/>
                <w14:ligatures w14:val="standardContextual"/>
              </w:rPr>
              <w:t>:00-1</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6</w:t>
            </w:r>
            <w:r>
              <w:rPr>
                <w:rFonts w:ascii="Times New Roman" w:hAnsi="Times New Roman" w:eastAsia="方正仿宋_GB2312" w:cs="Times New Roman"/>
                <w:snapToGrid w:val="0"/>
                <w:color w:val="000000"/>
                <w:kern w:val="0"/>
                <w:sz w:val="24"/>
                <w:szCs w:val="24"/>
                <w:lang w:val="en-US" w:eastAsia="zh-CN" w:bidi="ar-SA"/>
                <w14:ligatures w14:val="standardContextual"/>
              </w:rPr>
              <w:t>:00</w:t>
            </w:r>
          </w:p>
        </w:tc>
        <w:tc>
          <w:tcPr>
            <w:tcW w:w="4469" w:type="dxa"/>
            <w:vAlign w:val="center"/>
          </w:tcPr>
          <w:p w14:paraId="23402577">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设备调试、确认与存储</w:t>
            </w:r>
          </w:p>
        </w:tc>
      </w:tr>
      <w:tr w14:paraId="732D2001">
        <w:trPr>
          <w:trHeight w:val="565" w:hRule="atLeast"/>
          <w:jc w:val="center"/>
        </w:trPr>
        <w:tc>
          <w:tcPr>
            <w:tcW w:w="1319" w:type="dxa"/>
            <w:vMerge w:val="continue"/>
            <w:vAlign w:val="center"/>
          </w:tcPr>
          <w:p w14:paraId="360294FF">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209B39C0">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1E06B87E">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1</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6</w:t>
            </w:r>
            <w:r>
              <w:rPr>
                <w:rFonts w:ascii="Times New Roman" w:hAnsi="Times New Roman" w:eastAsia="方正仿宋_GB2312" w:cs="Times New Roman"/>
                <w:snapToGrid w:val="0"/>
                <w:color w:val="000000"/>
                <w:kern w:val="0"/>
                <w:sz w:val="24"/>
                <w:szCs w:val="24"/>
                <w:lang w:val="en-US" w:eastAsia="zh-CN" w:bidi="ar-SA"/>
                <w14:ligatures w14:val="standardContextual"/>
              </w:rPr>
              <w:t>:00-16:</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3</w:t>
            </w:r>
            <w:r>
              <w:rPr>
                <w:rFonts w:ascii="Times New Roman" w:hAnsi="Times New Roman" w:eastAsia="方正仿宋_GB2312" w:cs="Times New Roman"/>
                <w:snapToGrid w:val="0"/>
                <w:color w:val="000000"/>
                <w:kern w:val="0"/>
                <w:sz w:val="24"/>
                <w:szCs w:val="24"/>
                <w:lang w:val="en-US" w:eastAsia="zh-CN" w:bidi="ar-SA"/>
                <w14:ligatures w14:val="standardContextual"/>
              </w:rPr>
              <w:t>0</w:t>
            </w:r>
          </w:p>
        </w:tc>
        <w:tc>
          <w:tcPr>
            <w:tcW w:w="4469" w:type="dxa"/>
            <w:vAlign w:val="center"/>
          </w:tcPr>
          <w:p w14:paraId="45468CBC">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领队会议、一次加密</w:t>
            </w:r>
          </w:p>
        </w:tc>
      </w:tr>
      <w:tr w14:paraId="009488E3">
        <w:trPr>
          <w:trHeight w:val="565" w:hRule="atLeast"/>
          <w:jc w:val="center"/>
        </w:trPr>
        <w:tc>
          <w:tcPr>
            <w:tcW w:w="1319" w:type="dxa"/>
            <w:vMerge w:val="continue"/>
            <w:vAlign w:val="center"/>
          </w:tcPr>
          <w:p w14:paraId="09E9586E">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3147EFAB">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58DE45E0">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1</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6</w:t>
            </w:r>
            <w:r>
              <w:rPr>
                <w:rFonts w:ascii="Times New Roman" w:hAnsi="Times New Roman" w:eastAsia="方正仿宋_GB2312" w:cs="Times New Roman"/>
                <w:snapToGrid w:val="0"/>
                <w:color w:val="000000"/>
                <w:kern w:val="0"/>
                <w:sz w:val="24"/>
                <w:szCs w:val="24"/>
                <w:lang w:val="en-US" w:eastAsia="zh-CN" w:bidi="ar-SA"/>
                <w14:ligatures w14:val="standardContextual"/>
              </w:rPr>
              <w:t>:</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3</w:t>
            </w:r>
            <w:r>
              <w:rPr>
                <w:rFonts w:ascii="Times New Roman" w:hAnsi="Times New Roman" w:eastAsia="方正仿宋_GB2312" w:cs="Times New Roman"/>
                <w:snapToGrid w:val="0"/>
                <w:color w:val="000000"/>
                <w:kern w:val="0"/>
                <w:sz w:val="24"/>
                <w:szCs w:val="24"/>
                <w:lang w:val="en-US" w:eastAsia="zh-CN" w:bidi="ar-SA"/>
                <w14:ligatures w14:val="standardContextual"/>
              </w:rPr>
              <w:t>0-17:</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3</w:t>
            </w:r>
            <w:r>
              <w:rPr>
                <w:rFonts w:ascii="Times New Roman" w:hAnsi="Times New Roman" w:eastAsia="方正仿宋_GB2312" w:cs="Times New Roman"/>
                <w:snapToGrid w:val="0"/>
                <w:color w:val="000000"/>
                <w:kern w:val="0"/>
                <w:sz w:val="24"/>
                <w:szCs w:val="24"/>
                <w:lang w:val="en-US" w:eastAsia="zh-CN" w:bidi="ar-SA"/>
                <w14:ligatures w14:val="standardContextual"/>
              </w:rPr>
              <w:t>0</w:t>
            </w:r>
          </w:p>
        </w:tc>
        <w:tc>
          <w:tcPr>
            <w:tcW w:w="4469" w:type="dxa"/>
            <w:vAlign w:val="center"/>
          </w:tcPr>
          <w:p w14:paraId="2F526AB1">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分批次参观竞赛场地，调试比赛设备</w:t>
            </w:r>
          </w:p>
        </w:tc>
      </w:tr>
      <w:tr w14:paraId="5BE1EDC8">
        <w:trPr>
          <w:trHeight w:val="585" w:hRule="atLeast"/>
          <w:jc w:val="center"/>
        </w:trPr>
        <w:tc>
          <w:tcPr>
            <w:tcW w:w="1319" w:type="dxa"/>
            <w:vMerge w:val="restart"/>
            <w:vAlign w:val="center"/>
          </w:tcPr>
          <w:p w14:paraId="6E90EFB5">
            <w:pPr>
              <w:widowControl w:val="0"/>
              <w:kinsoku w:val="0"/>
              <w:autoSpaceDE w:val="0"/>
              <w:autoSpaceDN w:val="0"/>
              <w:adjustRightInd w:val="0"/>
              <w:snapToGrid w:val="0"/>
              <w:contextualSpacing/>
              <w:jc w:val="center"/>
              <w:textAlignment w:val="baseline"/>
              <w:rPr>
                <w:rFonts w:hint="eastAsia"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赛程</w:t>
            </w:r>
          </w:p>
          <w:p w14:paraId="003AB5F9">
            <w:pPr>
              <w:widowControl w:val="0"/>
              <w:kinsoku w:val="0"/>
              <w:autoSpaceDE w:val="0"/>
              <w:autoSpaceDN w:val="0"/>
              <w:adjustRightInd w:val="0"/>
              <w:snapToGrid w:val="0"/>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第一天</w:t>
            </w:r>
          </w:p>
        </w:tc>
        <w:tc>
          <w:tcPr>
            <w:tcW w:w="1452" w:type="dxa"/>
            <w:vMerge w:val="restart"/>
            <w:vAlign w:val="center"/>
          </w:tcPr>
          <w:p w14:paraId="18DC4E39">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检录侯考</w:t>
            </w:r>
          </w:p>
        </w:tc>
        <w:tc>
          <w:tcPr>
            <w:tcW w:w="1645" w:type="dxa"/>
            <w:vAlign w:val="center"/>
          </w:tcPr>
          <w:p w14:paraId="7D5F38A7">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7</w:t>
            </w:r>
            <w:r>
              <w:rPr>
                <w:rFonts w:ascii="Times New Roman" w:hAnsi="Times New Roman" w:eastAsia="方正仿宋_GB2312" w:cs="Times New Roman"/>
                <w:snapToGrid w:val="0"/>
                <w:color w:val="000000"/>
                <w:kern w:val="0"/>
                <w:sz w:val="24"/>
                <w:szCs w:val="24"/>
                <w:lang w:val="en-US" w:eastAsia="zh-CN" w:bidi="ar-SA"/>
                <w14:ligatures w14:val="standardContextual"/>
              </w:rPr>
              <w:t>:30-</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8</w:t>
            </w:r>
            <w:r>
              <w:rPr>
                <w:rFonts w:ascii="Times New Roman" w:hAnsi="Times New Roman" w:eastAsia="方正仿宋_GB2312" w:cs="Times New Roman"/>
                <w:snapToGrid w:val="0"/>
                <w:color w:val="000000"/>
                <w:kern w:val="0"/>
                <w:sz w:val="24"/>
                <w:szCs w:val="24"/>
                <w:lang w:val="en-US" w:eastAsia="zh-CN" w:bidi="ar-SA"/>
                <w14:ligatures w14:val="standardContextual"/>
              </w:rPr>
              <w:t>:00</w:t>
            </w:r>
          </w:p>
        </w:tc>
        <w:tc>
          <w:tcPr>
            <w:tcW w:w="4469" w:type="dxa"/>
            <w:vAlign w:val="center"/>
          </w:tcPr>
          <w:p w14:paraId="6B3B448D">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检录</w:t>
            </w:r>
          </w:p>
        </w:tc>
      </w:tr>
      <w:tr w14:paraId="303CEFE3">
        <w:trPr>
          <w:trHeight w:val="585" w:hRule="atLeast"/>
          <w:jc w:val="center"/>
        </w:trPr>
        <w:tc>
          <w:tcPr>
            <w:tcW w:w="1319" w:type="dxa"/>
            <w:vMerge w:val="continue"/>
            <w:vAlign w:val="center"/>
          </w:tcPr>
          <w:p w14:paraId="16D27025">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01BF7D6F">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1E0EEAE5">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8</w:t>
            </w:r>
            <w:r>
              <w:rPr>
                <w:rFonts w:ascii="Times New Roman" w:hAnsi="Times New Roman" w:eastAsia="方正仿宋_GB2312" w:cs="Times New Roman"/>
                <w:snapToGrid w:val="0"/>
                <w:color w:val="000000"/>
                <w:kern w:val="0"/>
                <w:sz w:val="24"/>
                <w:szCs w:val="24"/>
                <w:lang w:val="en-US" w:eastAsia="zh-CN" w:bidi="ar-SA"/>
                <w14:ligatures w14:val="standardContextual"/>
              </w:rPr>
              <w:t>:00-</w:t>
            </w: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8</w:t>
            </w:r>
            <w:r>
              <w:rPr>
                <w:rFonts w:ascii="Times New Roman" w:hAnsi="Times New Roman" w:eastAsia="方正仿宋_GB2312" w:cs="Times New Roman"/>
                <w:snapToGrid w:val="0"/>
                <w:color w:val="000000"/>
                <w:kern w:val="0"/>
                <w:sz w:val="24"/>
                <w:szCs w:val="24"/>
                <w:lang w:val="en-US" w:eastAsia="zh-CN" w:bidi="ar-SA"/>
                <w14:ligatures w14:val="standardContextual"/>
              </w:rPr>
              <w:t>:30</w:t>
            </w:r>
          </w:p>
        </w:tc>
        <w:tc>
          <w:tcPr>
            <w:tcW w:w="4469" w:type="dxa"/>
            <w:vAlign w:val="center"/>
          </w:tcPr>
          <w:p w14:paraId="68A35A76">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二次加密</w:t>
            </w:r>
          </w:p>
        </w:tc>
      </w:tr>
      <w:tr w14:paraId="7533CADF">
        <w:trPr>
          <w:trHeight w:val="585" w:hRule="atLeast"/>
          <w:jc w:val="center"/>
        </w:trPr>
        <w:tc>
          <w:tcPr>
            <w:tcW w:w="1319" w:type="dxa"/>
            <w:vMerge w:val="continue"/>
            <w:vAlign w:val="center"/>
          </w:tcPr>
          <w:p w14:paraId="41C380CD">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restart"/>
            <w:vAlign w:val="center"/>
          </w:tcPr>
          <w:p w14:paraId="30E681BA">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比赛</w:t>
            </w:r>
          </w:p>
        </w:tc>
        <w:tc>
          <w:tcPr>
            <w:tcW w:w="1645" w:type="dxa"/>
            <w:vAlign w:val="center"/>
          </w:tcPr>
          <w:p w14:paraId="08B28521">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8</w:t>
            </w:r>
            <w:r>
              <w:rPr>
                <w:rFonts w:ascii="Times New Roman" w:hAnsi="Times New Roman" w:eastAsia="方正仿宋_GB2312" w:cs="Times New Roman"/>
                <w:snapToGrid w:val="0"/>
                <w:color w:val="000000"/>
                <w:kern w:val="0"/>
                <w:sz w:val="24"/>
                <w:szCs w:val="24"/>
                <w:lang w:val="en-US" w:eastAsia="zh-CN" w:bidi="ar-SA"/>
                <w14:ligatures w14:val="standardContextual"/>
              </w:rPr>
              <w:t>:30</w:t>
            </w:r>
          </w:p>
        </w:tc>
        <w:tc>
          <w:tcPr>
            <w:tcW w:w="4469" w:type="dxa"/>
            <w:vAlign w:val="center"/>
          </w:tcPr>
          <w:p w14:paraId="71DFB315">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候赛（裁判组准备就绪后，随时开赛</w:t>
            </w:r>
            <w:r>
              <w:rPr>
                <w:rFonts w:hint="eastAsia" w:ascii="Times New Roman" w:hAnsi="Times New Roman" w:eastAsia="方正仿宋_GB2312" w:cs="Times New Roman"/>
                <w:snapToGrid w:val="0"/>
                <w:color w:val="000000"/>
                <w:kern w:val="0"/>
                <w:sz w:val="24"/>
                <w:szCs w:val="24"/>
                <w:lang w:eastAsia="zh-CN" w:bidi="ar"/>
                <w14:ligatures w14:val="standardContextual"/>
              </w:rPr>
              <w:t>，</w:t>
            </w:r>
            <w:r>
              <w:rPr>
                <w:rFonts w:hint="eastAsia" w:ascii="Times New Roman" w:hAnsi="Times New Roman" w:eastAsia="方正仿宋_GB2312" w:cs="Times New Roman"/>
                <w:snapToGrid w:val="0"/>
                <w:color w:val="000000"/>
                <w:kern w:val="0"/>
                <w:sz w:val="24"/>
                <w:szCs w:val="24"/>
                <w:lang w:val="en-US" w:eastAsia="zh-CN" w:bidi="ar"/>
                <w14:ligatures w14:val="standardContextual"/>
              </w:rPr>
              <w:t>下同。</w:t>
            </w:r>
            <w:r>
              <w:rPr>
                <w:rFonts w:ascii="Times New Roman" w:hAnsi="Times New Roman" w:eastAsia="方正仿宋_GB2312" w:cs="Times New Roman"/>
                <w:snapToGrid w:val="0"/>
                <w:color w:val="000000"/>
                <w:kern w:val="0"/>
                <w:sz w:val="24"/>
                <w:szCs w:val="24"/>
                <w:lang w:eastAsia="zh-CN" w:bidi="ar"/>
                <w14:ligatures w14:val="standardContextual"/>
              </w:rPr>
              <w:t>）</w:t>
            </w:r>
          </w:p>
        </w:tc>
      </w:tr>
      <w:tr w14:paraId="60EABD52">
        <w:trPr>
          <w:trHeight w:val="63" w:hRule="atLeast"/>
          <w:jc w:val="center"/>
        </w:trPr>
        <w:tc>
          <w:tcPr>
            <w:tcW w:w="1319" w:type="dxa"/>
            <w:vMerge w:val="continue"/>
            <w:vAlign w:val="center"/>
          </w:tcPr>
          <w:p w14:paraId="1EEF38C8">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6CE4A119">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0A10356C">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8</w:t>
            </w:r>
            <w:r>
              <w:rPr>
                <w:rFonts w:ascii="Times New Roman" w:hAnsi="Times New Roman" w:eastAsia="方正仿宋_GB2312" w:cs="Times New Roman"/>
                <w:snapToGrid w:val="0"/>
                <w:color w:val="000000"/>
                <w:kern w:val="0"/>
                <w:sz w:val="24"/>
                <w:szCs w:val="24"/>
                <w:lang w:val="en-US" w:eastAsia="zh-CN" w:bidi="ar-SA"/>
                <w14:ligatures w14:val="standardContextual"/>
              </w:rPr>
              <w:t>:30-12:00</w:t>
            </w:r>
          </w:p>
        </w:tc>
        <w:tc>
          <w:tcPr>
            <w:tcW w:w="4469" w:type="dxa"/>
            <w:vAlign w:val="center"/>
          </w:tcPr>
          <w:p w14:paraId="6DFA977F">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上午场比赛（每组比赛完直接离开赛场，下同。）</w:t>
            </w:r>
          </w:p>
        </w:tc>
      </w:tr>
      <w:tr w14:paraId="269E39BE">
        <w:trPr>
          <w:trHeight w:val="585" w:hRule="atLeast"/>
          <w:jc w:val="center"/>
        </w:trPr>
        <w:tc>
          <w:tcPr>
            <w:tcW w:w="1319" w:type="dxa"/>
            <w:vMerge w:val="continue"/>
            <w:vAlign w:val="center"/>
          </w:tcPr>
          <w:p w14:paraId="0BF6C621">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7632EC4F">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557A4A5A">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12:00-13:00</w:t>
            </w:r>
          </w:p>
        </w:tc>
        <w:tc>
          <w:tcPr>
            <w:tcW w:w="4469" w:type="dxa"/>
            <w:vAlign w:val="center"/>
          </w:tcPr>
          <w:p w14:paraId="31E2A89D">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午餐</w:t>
            </w:r>
          </w:p>
        </w:tc>
      </w:tr>
      <w:tr w14:paraId="54B3E185">
        <w:trPr>
          <w:trHeight w:val="585" w:hRule="atLeast"/>
          <w:jc w:val="center"/>
        </w:trPr>
        <w:tc>
          <w:tcPr>
            <w:tcW w:w="1319" w:type="dxa"/>
            <w:vMerge w:val="continue"/>
            <w:vAlign w:val="center"/>
          </w:tcPr>
          <w:p w14:paraId="6FB2A557">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691DCD9C">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4B1A498D">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13:00-19:00</w:t>
            </w:r>
          </w:p>
        </w:tc>
        <w:tc>
          <w:tcPr>
            <w:tcW w:w="4469" w:type="dxa"/>
            <w:vAlign w:val="center"/>
          </w:tcPr>
          <w:p w14:paraId="56D92E29">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下午场比赛</w:t>
            </w:r>
          </w:p>
        </w:tc>
      </w:tr>
      <w:tr w14:paraId="61197628">
        <w:trPr>
          <w:trHeight w:val="585" w:hRule="atLeast"/>
          <w:jc w:val="center"/>
        </w:trPr>
        <w:tc>
          <w:tcPr>
            <w:tcW w:w="1319" w:type="dxa"/>
            <w:vMerge w:val="restart"/>
            <w:vAlign w:val="center"/>
          </w:tcPr>
          <w:p w14:paraId="2F58FD0C">
            <w:pPr>
              <w:widowControl w:val="0"/>
              <w:kinsoku w:val="0"/>
              <w:autoSpaceDE w:val="0"/>
              <w:autoSpaceDN w:val="0"/>
              <w:adjustRightInd w:val="0"/>
              <w:snapToGrid w:val="0"/>
              <w:contextualSpacing/>
              <w:jc w:val="center"/>
              <w:textAlignment w:val="baseline"/>
              <w:rPr>
                <w:rFonts w:hint="eastAsia"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赛程</w:t>
            </w:r>
          </w:p>
          <w:p w14:paraId="0A516CC0">
            <w:pPr>
              <w:widowControl w:val="0"/>
              <w:kinsoku w:val="0"/>
              <w:autoSpaceDE w:val="0"/>
              <w:autoSpaceDN w:val="0"/>
              <w:adjustRightInd w:val="0"/>
              <w:snapToGrid w:val="0"/>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val="0"/>
                <w:color w:val="000000"/>
                <w:kern w:val="0"/>
                <w:sz w:val="24"/>
                <w:szCs w:val="24"/>
                <w:lang w:val="en-US" w:eastAsia="zh-CN" w:bidi="ar-SA"/>
                <w14:ligatures w14:val="standardContextual"/>
              </w:rPr>
              <w:t>第二天</w:t>
            </w:r>
          </w:p>
        </w:tc>
        <w:tc>
          <w:tcPr>
            <w:tcW w:w="1452" w:type="dxa"/>
            <w:vMerge w:val="restart"/>
            <w:vAlign w:val="center"/>
          </w:tcPr>
          <w:p w14:paraId="110C3A05">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检录侯考</w:t>
            </w:r>
          </w:p>
        </w:tc>
        <w:tc>
          <w:tcPr>
            <w:tcW w:w="1645" w:type="dxa"/>
            <w:vAlign w:val="center"/>
          </w:tcPr>
          <w:p w14:paraId="166C81A9">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color w:val="000000"/>
                <w:kern w:val="0"/>
                <w:sz w:val="24"/>
                <w:szCs w:val="24"/>
                <w:lang w:val="en-US" w:eastAsia="zh-CN" w:bidi="ar"/>
                <w14:ligatures w14:val="standardContextual"/>
              </w:rPr>
              <w:t>7</w:t>
            </w:r>
            <w:r>
              <w:rPr>
                <w:rFonts w:ascii="Times New Roman" w:hAnsi="Times New Roman" w:eastAsia="方正仿宋_GB2312" w:cs="Times New Roman"/>
                <w:snapToGrid/>
                <w:color w:val="000000"/>
                <w:kern w:val="0"/>
                <w:sz w:val="24"/>
                <w:szCs w:val="24"/>
                <w:lang w:val="en-US" w:eastAsia="zh-CN" w:bidi="ar"/>
                <w14:ligatures w14:val="standardContextual"/>
              </w:rPr>
              <w:t>:30-</w:t>
            </w:r>
            <w:r>
              <w:rPr>
                <w:rFonts w:hint="eastAsia" w:ascii="Times New Roman" w:hAnsi="Times New Roman" w:eastAsia="方正仿宋_GB2312" w:cs="Times New Roman"/>
                <w:snapToGrid/>
                <w:color w:val="000000"/>
                <w:kern w:val="0"/>
                <w:sz w:val="24"/>
                <w:szCs w:val="24"/>
                <w:lang w:val="en-US" w:eastAsia="zh-CN" w:bidi="ar"/>
                <w14:ligatures w14:val="standardContextual"/>
              </w:rPr>
              <w:t>8</w:t>
            </w:r>
            <w:r>
              <w:rPr>
                <w:rFonts w:ascii="Times New Roman" w:hAnsi="Times New Roman" w:eastAsia="方正仿宋_GB2312" w:cs="Times New Roman"/>
                <w:snapToGrid/>
                <w:color w:val="000000"/>
                <w:kern w:val="0"/>
                <w:sz w:val="24"/>
                <w:szCs w:val="24"/>
                <w:lang w:val="en-US" w:eastAsia="zh-CN" w:bidi="ar"/>
                <w14:ligatures w14:val="standardContextual"/>
              </w:rPr>
              <w:t>:00</w:t>
            </w:r>
          </w:p>
        </w:tc>
        <w:tc>
          <w:tcPr>
            <w:tcW w:w="4469" w:type="dxa"/>
            <w:vAlign w:val="center"/>
          </w:tcPr>
          <w:p w14:paraId="7AB6EBEB">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检录</w:t>
            </w:r>
          </w:p>
        </w:tc>
      </w:tr>
      <w:tr w14:paraId="670E0A05">
        <w:trPr>
          <w:trHeight w:val="585" w:hRule="atLeast"/>
          <w:jc w:val="center"/>
        </w:trPr>
        <w:tc>
          <w:tcPr>
            <w:tcW w:w="1319" w:type="dxa"/>
            <w:vMerge w:val="continue"/>
            <w:vAlign w:val="center"/>
          </w:tcPr>
          <w:p w14:paraId="4E1F3E52">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63B59131">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0755E7FF">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color w:val="000000"/>
                <w:kern w:val="0"/>
                <w:sz w:val="24"/>
                <w:szCs w:val="24"/>
                <w:lang w:val="en-US" w:eastAsia="zh-CN" w:bidi="ar"/>
                <w14:ligatures w14:val="standardContextual"/>
              </w:rPr>
              <w:t>8</w:t>
            </w:r>
            <w:r>
              <w:rPr>
                <w:rFonts w:ascii="Times New Roman" w:hAnsi="Times New Roman" w:eastAsia="方正仿宋_GB2312" w:cs="Times New Roman"/>
                <w:snapToGrid/>
                <w:color w:val="000000"/>
                <w:kern w:val="0"/>
                <w:sz w:val="24"/>
                <w:szCs w:val="24"/>
                <w:lang w:val="en-US" w:eastAsia="zh-CN" w:bidi="ar"/>
                <w14:ligatures w14:val="standardContextual"/>
              </w:rPr>
              <w:t>:00-</w:t>
            </w:r>
            <w:r>
              <w:rPr>
                <w:rFonts w:hint="eastAsia" w:ascii="Times New Roman" w:hAnsi="Times New Roman" w:eastAsia="方正仿宋_GB2312" w:cs="Times New Roman"/>
                <w:snapToGrid/>
                <w:color w:val="000000"/>
                <w:kern w:val="0"/>
                <w:sz w:val="24"/>
                <w:szCs w:val="24"/>
                <w:lang w:val="en-US" w:eastAsia="zh-CN" w:bidi="ar"/>
                <w14:ligatures w14:val="standardContextual"/>
              </w:rPr>
              <w:t>8</w:t>
            </w:r>
            <w:r>
              <w:rPr>
                <w:rFonts w:ascii="Times New Roman" w:hAnsi="Times New Roman" w:eastAsia="方正仿宋_GB2312" w:cs="Times New Roman"/>
                <w:snapToGrid/>
                <w:color w:val="000000"/>
                <w:kern w:val="0"/>
                <w:sz w:val="24"/>
                <w:szCs w:val="24"/>
                <w:lang w:val="en-US" w:eastAsia="zh-CN" w:bidi="ar"/>
                <w14:ligatures w14:val="standardContextual"/>
              </w:rPr>
              <w:t>:30</w:t>
            </w:r>
          </w:p>
        </w:tc>
        <w:tc>
          <w:tcPr>
            <w:tcW w:w="4469" w:type="dxa"/>
            <w:vAlign w:val="center"/>
          </w:tcPr>
          <w:p w14:paraId="78FD4A58">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二次加密</w:t>
            </w:r>
          </w:p>
        </w:tc>
      </w:tr>
      <w:tr w14:paraId="3419D990">
        <w:trPr>
          <w:trHeight w:val="585" w:hRule="atLeast"/>
          <w:jc w:val="center"/>
        </w:trPr>
        <w:tc>
          <w:tcPr>
            <w:tcW w:w="1319" w:type="dxa"/>
            <w:vMerge w:val="continue"/>
            <w:vAlign w:val="center"/>
          </w:tcPr>
          <w:p w14:paraId="631E672B">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restart"/>
            <w:vAlign w:val="center"/>
          </w:tcPr>
          <w:p w14:paraId="2E844F29">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val="0"/>
                <w:color w:val="000000"/>
                <w:kern w:val="0"/>
                <w:sz w:val="24"/>
                <w:szCs w:val="24"/>
                <w:lang w:val="en-US" w:eastAsia="zh-CN" w:bidi="ar-SA"/>
                <w14:ligatures w14:val="standardContextual"/>
              </w:rPr>
              <w:t>比赛</w:t>
            </w:r>
          </w:p>
        </w:tc>
        <w:tc>
          <w:tcPr>
            <w:tcW w:w="1645" w:type="dxa"/>
            <w:vAlign w:val="center"/>
          </w:tcPr>
          <w:p w14:paraId="58D65EC6">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color w:val="000000"/>
                <w:kern w:val="0"/>
                <w:sz w:val="24"/>
                <w:szCs w:val="24"/>
                <w:lang w:val="en-US" w:eastAsia="zh-CN" w:bidi="ar"/>
                <w14:ligatures w14:val="standardContextual"/>
              </w:rPr>
              <w:t>8</w:t>
            </w:r>
            <w:r>
              <w:rPr>
                <w:rFonts w:ascii="Times New Roman" w:hAnsi="Times New Roman" w:eastAsia="方正仿宋_GB2312" w:cs="Times New Roman"/>
                <w:snapToGrid/>
                <w:color w:val="000000"/>
                <w:kern w:val="0"/>
                <w:sz w:val="24"/>
                <w:szCs w:val="24"/>
                <w:lang w:val="en-US" w:eastAsia="zh-CN" w:bidi="ar"/>
                <w14:ligatures w14:val="standardContextual"/>
              </w:rPr>
              <w:t>:30</w:t>
            </w:r>
          </w:p>
        </w:tc>
        <w:tc>
          <w:tcPr>
            <w:tcW w:w="4469" w:type="dxa"/>
            <w:vAlign w:val="center"/>
          </w:tcPr>
          <w:p w14:paraId="47BF5042">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候赛</w:t>
            </w:r>
          </w:p>
        </w:tc>
      </w:tr>
      <w:tr w14:paraId="2AEDBB73">
        <w:trPr>
          <w:trHeight w:val="585" w:hRule="atLeast"/>
          <w:jc w:val="center"/>
        </w:trPr>
        <w:tc>
          <w:tcPr>
            <w:tcW w:w="1319" w:type="dxa"/>
            <w:vMerge w:val="continue"/>
            <w:vAlign w:val="center"/>
          </w:tcPr>
          <w:p w14:paraId="7C240758">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5B7A7D57">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69A08EDD">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hint="eastAsia" w:ascii="Times New Roman" w:hAnsi="Times New Roman" w:eastAsia="方正仿宋_GB2312" w:cs="Times New Roman"/>
                <w:snapToGrid/>
                <w:color w:val="000000"/>
                <w:kern w:val="0"/>
                <w:sz w:val="24"/>
                <w:szCs w:val="24"/>
                <w:lang w:val="en-US" w:eastAsia="zh-CN" w:bidi="ar"/>
                <w14:ligatures w14:val="standardContextual"/>
              </w:rPr>
              <w:t>8</w:t>
            </w:r>
            <w:r>
              <w:rPr>
                <w:rFonts w:ascii="Times New Roman" w:hAnsi="Times New Roman" w:eastAsia="方正仿宋_GB2312" w:cs="Times New Roman"/>
                <w:snapToGrid/>
                <w:color w:val="000000"/>
                <w:kern w:val="0"/>
                <w:sz w:val="24"/>
                <w:szCs w:val="24"/>
                <w:lang w:val="en-US" w:eastAsia="zh-CN" w:bidi="ar"/>
                <w14:ligatures w14:val="standardContextual"/>
              </w:rPr>
              <w:t>:30-12:00</w:t>
            </w:r>
          </w:p>
        </w:tc>
        <w:tc>
          <w:tcPr>
            <w:tcW w:w="4469" w:type="dxa"/>
            <w:vAlign w:val="center"/>
          </w:tcPr>
          <w:p w14:paraId="25B28FA6">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上午场比赛</w:t>
            </w:r>
          </w:p>
        </w:tc>
      </w:tr>
      <w:tr w14:paraId="24A70963">
        <w:trPr>
          <w:trHeight w:val="585" w:hRule="atLeast"/>
          <w:jc w:val="center"/>
        </w:trPr>
        <w:tc>
          <w:tcPr>
            <w:tcW w:w="1319" w:type="dxa"/>
            <w:vMerge w:val="continue"/>
            <w:vAlign w:val="center"/>
          </w:tcPr>
          <w:p w14:paraId="17F0155B">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025894D6">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371A0955">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color w:val="000000"/>
                <w:kern w:val="0"/>
                <w:sz w:val="24"/>
                <w:szCs w:val="24"/>
                <w:lang w:val="en-US" w:eastAsia="zh-CN" w:bidi="ar"/>
                <w14:ligatures w14:val="standardContextual"/>
              </w:rPr>
              <w:t>12:00-13:00</w:t>
            </w:r>
          </w:p>
        </w:tc>
        <w:tc>
          <w:tcPr>
            <w:tcW w:w="4469" w:type="dxa"/>
            <w:vAlign w:val="center"/>
          </w:tcPr>
          <w:p w14:paraId="4607D923">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午餐</w:t>
            </w:r>
          </w:p>
        </w:tc>
      </w:tr>
      <w:tr w14:paraId="23E6294F">
        <w:trPr>
          <w:trHeight w:val="585" w:hRule="atLeast"/>
          <w:jc w:val="center"/>
        </w:trPr>
        <w:tc>
          <w:tcPr>
            <w:tcW w:w="1319" w:type="dxa"/>
            <w:vMerge w:val="continue"/>
            <w:vAlign w:val="center"/>
          </w:tcPr>
          <w:p w14:paraId="2CC1A5A3">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452" w:type="dxa"/>
            <w:vMerge w:val="continue"/>
            <w:vAlign w:val="center"/>
          </w:tcPr>
          <w:p w14:paraId="25635713">
            <w:pPr>
              <w:widowControl w:val="0"/>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p>
        </w:tc>
        <w:tc>
          <w:tcPr>
            <w:tcW w:w="1645" w:type="dxa"/>
            <w:vAlign w:val="center"/>
          </w:tcPr>
          <w:p w14:paraId="226DF348">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val="en-US" w:eastAsia="zh-CN" w:bidi="ar-SA"/>
                <w14:ligatures w14:val="standardContextual"/>
              </w:rPr>
            </w:pPr>
            <w:r>
              <w:rPr>
                <w:rFonts w:ascii="Times New Roman" w:hAnsi="Times New Roman" w:eastAsia="方正仿宋_GB2312" w:cs="Times New Roman"/>
                <w:snapToGrid/>
                <w:color w:val="000000"/>
                <w:kern w:val="0"/>
                <w:sz w:val="24"/>
                <w:szCs w:val="24"/>
                <w:lang w:val="en-US" w:eastAsia="zh-CN" w:bidi="ar"/>
                <w14:ligatures w14:val="standardContextual"/>
              </w:rPr>
              <w:t>13:00-17:00</w:t>
            </w:r>
          </w:p>
        </w:tc>
        <w:tc>
          <w:tcPr>
            <w:tcW w:w="4469" w:type="dxa"/>
            <w:vAlign w:val="center"/>
          </w:tcPr>
          <w:p w14:paraId="259D4EDC">
            <w:pPr>
              <w:widowControl/>
              <w:kinsoku w:val="0"/>
              <w:autoSpaceDE w:val="0"/>
              <w:autoSpaceDN w:val="0"/>
              <w:adjustRightInd w:val="0"/>
              <w:snapToGrid w:val="0"/>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14:ligatures w14:val="standardContextual"/>
              </w:rPr>
            </w:pPr>
            <w:r>
              <w:rPr>
                <w:rFonts w:hint="eastAsia" w:ascii="Times New Roman" w:hAnsi="Times New Roman" w:eastAsia="方正仿宋_GB2312" w:cs="Times New Roman"/>
                <w:snapToGrid w:val="0"/>
                <w:color w:val="000000"/>
                <w:kern w:val="0"/>
                <w:sz w:val="24"/>
                <w:szCs w:val="24"/>
                <w:lang w:val="en-US" w:eastAsia="zh-CN"/>
                <w14:ligatures w14:val="standardContextual"/>
              </w:rPr>
              <w:t>解密、成绩复核与抽检</w:t>
            </w:r>
          </w:p>
        </w:tc>
      </w:tr>
    </w:tbl>
    <w:p w14:paraId="10598061">
      <w:pPr>
        <w:widowControl/>
        <w:kinsoku w:val="0"/>
        <w:autoSpaceDE w:val="0"/>
        <w:autoSpaceDN w:val="0"/>
        <w:adjustRightInd w:val="0"/>
        <w:snapToGrid w:val="0"/>
        <w:spacing w:line="540" w:lineRule="exact"/>
        <w:ind w:firstLine="723" w:firstLineChars="300"/>
        <w:contextualSpacing/>
        <w:jc w:val="left"/>
        <w:textAlignment w:val="baseline"/>
        <w:rPr>
          <w:rFonts w:ascii="仿宋" w:hAnsi="仿宋" w:eastAsia="仿宋" w:cs="仿宋"/>
          <w:b/>
          <w:bCs/>
          <w:snapToGrid w:val="0"/>
          <w:color w:val="000000"/>
          <w:kern w:val="0"/>
          <w:sz w:val="24"/>
          <w:szCs w:val="24"/>
          <w:lang w:eastAsia="zh-CN" w:bidi="ar"/>
          <w14:ligatures w14:val="standardContextual"/>
        </w:rPr>
      </w:pPr>
      <w:r>
        <w:rPr>
          <w:rFonts w:ascii="仿宋" w:hAnsi="仿宋" w:eastAsia="仿宋" w:cs="仿宋"/>
          <w:b/>
          <w:bCs/>
          <w:snapToGrid w:val="0"/>
          <w:color w:val="000000"/>
          <w:kern w:val="0"/>
          <w:sz w:val="24"/>
          <w:szCs w:val="24"/>
          <w:lang w:eastAsia="zh-CN" w:bidi="ar"/>
          <w14:ligatures w14:val="standardContextual"/>
        </w:rPr>
        <w:t>注：</w:t>
      </w:r>
      <w:r>
        <w:rPr>
          <w:rFonts w:hint="eastAsia" w:ascii="仿宋" w:hAnsi="仿宋" w:eastAsia="仿宋" w:cs="仿宋"/>
          <w:b/>
          <w:bCs/>
          <w:snapToGrid w:val="0"/>
          <w:color w:val="000000"/>
          <w:kern w:val="0"/>
          <w:sz w:val="24"/>
          <w:szCs w:val="24"/>
          <w:lang w:val="en-US" w:eastAsia="zh-CN" w:bidi="ar"/>
          <w14:ligatures w14:val="standardContextual"/>
        </w:rPr>
        <w:t>1.</w:t>
      </w:r>
      <w:r>
        <w:rPr>
          <w:rFonts w:ascii="仿宋" w:hAnsi="仿宋" w:eastAsia="仿宋" w:cs="仿宋"/>
          <w:b/>
          <w:bCs/>
          <w:snapToGrid w:val="0"/>
          <w:color w:val="000000"/>
          <w:kern w:val="0"/>
          <w:sz w:val="24"/>
          <w:szCs w:val="24"/>
          <w:lang w:eastAsia="zh-CN" w:bidi="ar"/>
          <w14:ligatures w14:val="standardContextual"/>
        </w:rPr>
        <w:t>以上为预设时间安排，具体以比赛实际进度为准。</w:t>
      </w:r>
      <w:bookmarkStart w:id="1" w:name="bookmark22"/>
      <w:bookmarkEnd w:id="1"/>
      <w:bookmarkStart w:id="2" w:name="bookmark20"/>
      <w:bookmarkEnd w:id="2"/>
      <w:bookmarkStart w:id="3" w:name="bookmark17"/>
      <w:bookmarkEnd w:id="3"/>
      <w:bookmarkStart w:id="4" w:name="bookmark19"/>
      <w:bookmarkEnd w:id="4"/>
      <w:bookmarkStart w:id="5" w:name="bookmark21"/>
      <w:bookmarkEnd w:id="5"/>
    </w:p>
    <w:p w14:paraId="04913F42">
      <w:pPr>
        <w:widowControl/>
        <w:kinsoku w:val="0"/>
        <w:autoSpaceDE w:val="0"/>
        <w:autoSpaceDN w:val="0"/>
        <w:adjustRightInd w:val="0"/>
        <w:snapToGrid w:val="0"/>
        <w:spacing w:line="540" w:lineRule="exact"/>
        <w:ind w:firstLine="241" w:firstLineChars="100"/>
        <w:contextualSpacing/>
        <w:jc w:val="left"/>
        <w:textAlignment w:val="baseline"/>
        <w:rPr>
          <w:rFonts w:hint="default" w:ascii="仿宋" w:hAnsi="仿宋" w:eastAsia="仿宋" w:cs="仿宋"/>
          <w:b/>
          <w:bCs/>
          <w:snapToGrid w:val="0"/>
          <w:color w:val="000000"/>
          <w:kern w:val="0"/>
          <w:sz w:val="24"/>
          <w:szCs w:val="24"/>
          <w:lang w:val="en-US" w:eastAsia="zh-CN" w:bidi="ar"/>
          <w14:ligatures w14:val="standardContextual"/>
        </w:rPr>
      </w:pPr>
      <w:r>
        <w:rPr>
          <w:rFonts w:hint="eastAsia" w:ascii="仿宋" w:hAnsi="仿宋" w:eastAsia="仿宋" w:cs="仿宋"/>
          <w:b/>
          <w:bCs/>
          <w:snapToGrid w:val="0"/>
          <w:color w:val="000000"/>
          <w:kern w:val="0"/>
          <w:sz w:val="24"/>
          <w:szCs w:val="24"/>
          <w:lang w:val="en-US" w:eastAsia="zh-CN" w:bidi="ar"/>
          <w14:ligatures w14:val="standardContextual"/>
        </w:rPr>
        <w:t xml:space="preserve">   </w:t>
      </w:r>
    </w:p>
    <w:p w14:paraId="05750538">
      <w:pPr>
        <w:widowControl/>
        <w:numPr>
          <w:ilvl w:val="0"/>
          <w:numId w:val="1"/>
        </w:numPr>
        <w:kinsoku w:val="0"/>
        <w:autoSpaceDE w:val="0"/>
        <w:autoSpaceDN w:val="0"/>
        <w:adjustRightInd w:val="0"/>
        <w:snapToGrid w:val="0"/>
        <w:spacing w:line="540" w:lineRule="exact"/>
        <w:ind w:left="567"/>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ascii="黑体" w:hAnsi="黑体" w:eastAsia="黑体" w:cs="黑体"/>
          <w:snapToGrid w:val="0"/>
          <w:color w:val="000000"/>
          <w:spacing w:val="-8"/>
          <w:kern w:val="0"/>
          <w:sz w:val="28"/>
          <w:szCs w:val="28"/>
          <w:lang w:eastAsia="zh-CN"/>
          <w14:ligatures w14:val="standardContextual"/>
        </w:rPr>
        <w:t>比赛规则</w:t>
      </w:r>
    </w:p>
    <w:p w14:paraId="5930438E">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6" w:name="bookmark24"/>
      <w:bookmarkEnd w:id="6"/>
      <w:bookmarkStart w:id="7" w:name="bookmark23"/>
      <w:bookmarkEnd w:id="7"/>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一</w:t>
      </w:r>
      <w:r>
        <w:rPr>
          <w:rFonts w:ascii="楷体_GB2312" w:hAnsi="Times New Roman" w:eastAsia="楷体_GB2312" w:cs="Times New Roman"/>
          <w:b/>
          <w:bCs/>
          <w:snapToGrid w:val="0"/>
          <w:color w:val="000000"/>
          <w:spacing w:val="-5"/>
          <w:kern w:val="0"/>
          <w:sz w:val="28"/>
          <w:szCs w:val="28"/>
          <w:lang w:eastAsia="zh-CN"/>
          <w14:ligatures w14:val="standardContextual"/>
        </w:rPr>
        <w:t>）比赛地点</w:t>
      </w:r>
    </w:p>
    <w:p w14:paraId="231638A3">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bookmarkStart w:id="8" w:name="bookmark25"/>
      <w:bookmarkEnd w:id="8"/>
      <w:bookmarkStart w:id="9" w:name="bookmark26"/>
      <w:bookmarkEnd w:id="9"/>
      <w:r>
        <w:rPr>
          <w:rFonts w:hint="eastAsia" w:ascii="仿宋_GB2312" w:hAnsi="Times New Roman" w:eastAsia="仿宋_GB2312" w:cs="Times New Roman"/>
          <w:snapToGrid w:val="0"/>
          <w:color w:val="000000"/>
          <w:spacing w:val="2"/>
          <w:kern w:val="0"/>
          <w:sz w:val="28"/>
          <w:szCs w:val="28"/>
          <w:lang w:eastAsia="zh-CN"/>
          <w14:ligatures w14:val="standardContextual"/>
        </w:rPr>
        <w:t>海南科技职业大学（云龙校区）</w:t>
      </w:r>
    </w:p>
    <w:p w14:paraId="207D41FD">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地址：海口市琼山区云龙镇云定路118号。</w:t>
      </w:r>
    </w:p>
    <w:p w14:paraId="1108CE2F">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二</w:t>
      </w:r>
      <w:r>
        <w:rPr>
          <w:rFonts w:ascii="楷体_GB2312" w:hAnsi="Times New Roman" w:eastAsia="楷体_GB2312" w:cs="Times New Roman"/>
          <w:b/>
          <w:bCs/>
          <w:snapToGrid w:val="0"/>
          <w:color w:val="000000"/>
          <w:spacing w:val="-5"/>
          <w:kern w:val="0"/>
          <w:sz w:val="28"/>
          <w:szCs w:val="28"/>
          <w:lang w:eastAsia="zh-CN"/>
          <w14:ligatures w14:val="standardContextual"/>
        </w:rPr>
        <w:t>）比赛时长</w:t>
      </w:r>
    </w:p>
    <w:p w14:paraId="31938CD6">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本赛项设置两个竞赛环节，依次进行。</w:t>
      </w:r>
    </w:p>
    <w:p w14:paraId="68F0573B">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项目一“幼儿游戏观察与分析”竞赛时长不超过30分钟，包括视频观看、观察记录、团队讨论、书面分析及答题纸提交。</w:t>
      </w:r>
    </w:p>
    <w:p w14:paraId="2F5EDF0F">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项目一结束后，参赛队按照赛场统一安排，前往设备存储区领取本队参赛设备及材料，并进入项目二“自选项目技能展示”比赛场地。设备领取及转场由赛场统一组织，不计入项目二的设备准备时间。</w:t>
      </w:r>
    </w:p>
    <w:p w14:paraId="418E26C6">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参赛队进入项目二比赛场地后，设备进场、摆放、调试及场地准备时间不超过10分钟。项目技能展示时长不超过1小时，具体展示时间由参赛队根据项目实际需要确定。展示结束后，设备及场地复位、退场时间不超过5分钟。</w:t>
      </w:r>
    </w:p>
    <w:p w14:paraId="1B970E99">
      <w:pPr>
        <w:widowControl/>
        <w:numPr>
          <w:ilvl w:val="0"/>
          <w:numId w:val="0"/>
        </w:numPr>
        <w:kinsoku w:val="0"/>
        <w:autoSpaceDE w:val="0"/>
        <w:autoSpaceDN w:val="0"/>
        <w:adjustRightInd w:val="0"/>
        <w:snapToGrid w:val="0"/>
        <w:spacing w:line="540" w:lineRule="exact"/>
        <w:ind w:firstLine="541" w:firstLineChars="200"/>
        <w:contextualSpacing/>
        <w:jc w:val="left"/>
        <w:textAlignment w:val="baseline"/>
        <w:outlineLvl w:val="2"/>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pPr>
      <w:bookmarkStart w:id="10" w:name="bookmark28"/>
      <w:bookmarkEnd w:id="10"/>
      <w:bookmarkStart w:id="11" w:name="bookmark27"/>
      <w:bookmarkEnd w:id="11"/>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三</w:t>
      </w:r>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组队方式</w:t>
      </w:r>
    </w:p>
    <w:p w14:paraId="460A67E0">
      <w:pPr>
        <w:widowControl/>
        <w:kinsoku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参赛队伍以学校为单位组队，不得跨校组队，每个参赛院校限报4支队伍。比赛为团体赛，每支队伍参赛选手限2-4人。每支参赛队伍指导教师不超过2名。</w:t>
      </w:r>
    </w:p>
    <w:p w14:paraId="02ADC81F">
      <w:pPr>
        <w:widowControl/>
        <w:kinsoku w:val="0"/>
        <w:autoSpaceDE w:val="0"/>
        <w:autoSpaceDN w:val="0"/>
        <w:adjustRightInd w:val="0"/>
        <w:snapToGrid w:val="0"/>
        <w:spacing w:line="540" w:lineRule="exact"/>
        <w:ind w:left="565"/>
        <w:contextualSpacing/>
        <w:jc w:val="left"/>
        <w:textAlignment w:val="baseline"/>
        <w:outlineLvl w:val="2"/>
        <w:rPr>
          <w:rFonts w:hint="default" w:ascii="楷体_GB2312" w:hAnsi="Times New Roman" w:eastAsia="楷体_GB2312" w:cs="Times New Roman"/>
          <w:b/>
          <w:bCs/>
          <w:snapToGrid w:val="0"/>
          <w:color w:val="000000"/>
          <w:spacing w:val="-5"/>
          <w:kern w:val="0"/>
          <w:sz w:val="28"/>
          <w:szCs w:val="28"/>
          <w:lang w:val="en-US" w:eastAsia="zh-CN"/>
          <w14:ligatures w14:val="standardContextual"/>
        </w:rPr>
      </w:pPr>
      <w:bookmarkStart w:id="12" w:name="bookmark29"/>
      <w:bookmarkEnd w:id="12"/>
      <w:bookmarkStart w:id="13" w:name="bookmark30"/>
      <w:bookmarkEnd w:id="13"/>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五</w:t>
      </w:r>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参赛资格</w:t>
      </w:r>
    </w:p>
    <w:p w14:paraId="3E8DCD13">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参赛对象为高职（专科）学校、本科层次职业学</w:t>
      </w:r>
      <w:r>
        <w:rPr>
          <w:rFonts w:hint="eastAsia" w:ascii="仿宋_GB2312" w:hAnsi="Times New Roman" w:eastAsia="仿宋_GB2312" w:cs="Times New Roman"/>
          <w:snapToGrid w:val="0"/>
          <w:color w:val="000000"/>
          <w:spacing w:val="2"/>
          <w:kern w:val="0"/>
          <w:sz w:val="28"/>
          <w:szCs w:val="28"/>
          <w:lang w:eastAsia="zh-CN"/>
          <w14:ligatures w14:val="standardContextual"/>
        </w:rPr>
        <w:t>校（含普通本科学校职教本科专业）、普通本科学校专科全日制</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正式学籍的在校学生。参赛选手年龄不超过 25 周岁（即 2002 年 5 月 1 日及以后出生）。五年制学生报名参赛的，四、五年级学生可参加本次大赛。在2025年世界职业院校技能大赛争夺赛中获一等奖的选手，不再参加同一项目（同一组别）的全省竞赛。</w:t>
      </w:r>
    </w:p>
    <w:p w14:paraId="51541FE8">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参赛选手及指导教师报名信息经审核确认后，原则上不得随意更换。确因特殊情况需要更换参赛选手、指导教师或无法继续参赛的，按照海南省职业院校职业技能大赛组委会的有关规定和要求执行。</w:t>
      </w:r>
    </w:p>
    <w:p w14:paraId="05B4537D">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六</w:t>
      </w:r>
      <w:r>
        <w:rPr>
          <w:rFonts w:hint="eastAsia" w:ascii="楷体_GB2312" w:hAnsi="Times New Roman" w:eastAsia="楷体_GB2312" w:cs="Times New Roman"/>
          <w:b/>
          <w:bCs/>
          <w:snapToGrid w:val="0"/>
          <w:color w:val="000000"/>
          <w:spacing w:val="-5"/>
          <w:kern w:val="0"/>
          <w:sz w:val="28"/>
          <w:szCs w:val="28"/>
          <w:lang w:eastAsia="zh-CN"/>
          <w14:ligatures w14:val="standardContextual"/>
        </w:rPr>
        <w:t>）</w:t>
      </w:r>
      <w:r>
        <w:rPr>
          <w:rFonts w:ascii="楷体_GB2312" w:hAnsi="Times New Roman" w:eastAsia="楷体_GB2312" w:cs="Times New Roman"/>
          <w:b/>
          <w:bCs/>
          <w:snapToGrid w:val="0"/>
          <w:color w:val="000000"/>
          <w:spacing w:val="-5"/>
          <w:kern w:val="0"/>
          <w:sz w:val="28"/>
          <w:szCs w:val="28"/>
          <w:lang w:eastAsia="zh-CN"/>
          <w14:ligatures w14:val="standardContextual"/>
        </w:rPr>
        <w:t>比赛抽签办法</w:t>
      </w:r>
    </w:p>
    <w:bookmarkEnd w:id="0"/>
    <w:p w14:paraId="55A64FC4">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比赛前一天</w:t>
      </w:r>
      <w:r>
        <w:rPr>
          <w:rFonts w:ascii="仿宋_GB2312" w:hAnsi="Times New Roman" w:eastAsia="仿宋_GB2312" w:cs="Times New Roman"/>
          <w:snapToGrid w:val="0"/>
          <w:color w:val="000000"/>
          <w:spacing w:val="2"/>
          <w:kern w:val="0"/>
          <w:sz w:val="28"/>
          <w:szCs w:val="28"/>
          <w:lang w:eastAsia="zh-CN"/>
          <w14:ligatures w14:val="standardContextual"/>
        </w:rPr>
        <w:t>领队会后进行现场抽签，抽取各参赛队编号，用参赛队编号替换参赛队伍参赛证等身份信息。第一次加密按大赛报名系统导出的参赛队列表顺序依次抽取参赛队编号。</w:t>
      </w:r>
    </w:p>
    <w:p w14:paraId="02DCDB29">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比赛当天再进行抽签加密。第二次加密由加密裁判组织参赛队根据各参赛队编号由小到大的顺序依次抽取出场顺序号。</w:t>
      </w:r>
      <w:r>
        <w:rPr>
          <w:rFonts w:hint="eastAsia" w:ascii="仿宋_GB2312" w:hAnsi="Times New Roman" w:eastAsia="仿宋_GB2312" w:cs="Times New Roman"/>
          <w:snapToGrid w:val="0"/>
          <w:color w:val="000000"/>
          <w:spacing w:val="2"/>
          <w:kern w:val="0"/>
          <w:sz w:val="28"/>
          <w:szCs w:val="28"/>
          <w:lang w:eastAsia="zh-CN"/>
          <w14:ligatures w14:val="standardContextual"/>
        </w:rPr>
        <w:t>每支队伍</w:t>
      </w:r>
      <w:r>
        <w:rPr>
          <w:rFonts w:ascii="仿宋_GB2312" w:hAnsi="Times New Roman" w:eastAsia="仿宋_GB2312" w:cs="Times New Roman"/>
          <w:snapToGrid w:val="0"/>
          <w:color w:val="000000"/>
          <w:spacing w:val="2"/>
          <w:kern w:val="0"/>
          <w:sz w:val="28"/>
          <w:szCs w:val="28"/>
          <w:lang w:eastAsia="zh-CN"/>
          <w14:ligatures w14:val="standardContextual"/>
        </w:rPr>
        <w:t>均需进行两次加密。</w:t>
      </w:r>
    </w:p>
    <w:p w14:paraId="14754931">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七</w:t>
      </w:r>
      <w:r>
        <w:rPr>
          <w:rFonts w:ascii="楷体_GB2312" w:hAnsi="Times New Roman" w:eastAsia="楷体_GB2312" w:cs="Times New Roman"/>
          <w:b/>
          <w:bCs/>
          <w:snapToGrid w:val="0"/>
          <w:color w:val="000000"/>
          <w:spacing w:val="-5"/>
          <w:kern w:val="0"/>
          <w:sz w:val="28"/>
          <w:szCs w:val="28"/>
          <w:lang w:eastAsia="zh-CN"/>
          <w14:ligatures w14:val="standardContextual"/>
        </w:rPr>
        <w:t>）参赛选手入场</w:t>
      </w:r>
    </w:p>
    <w:p w14:paraId="0BC41AED">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参赛选手应提前15分钟到达赛场，凭三证检录</w:t>
      </w:r>
      <w:r>
        <w:rPr>
          <w:rFonts w:hint="eastAsia" w:ascii="仿宋_GB2312" w:hAnsi="Times New Roman" w:eastAsia="仿宋_GB2312" w:cs="Times New Roman"/>
          <w:snapToGrid w:val="0"/>
          <w:color w:val="000000"/>
          <w:spacing w:val="2"/>
          <w:kern w:val="0"/>
          <w:sz w:val="28"/>
          <w:szCs w:val="28"/>
          <w:lang w:eastAsia="zh-CN"/>
          <w14:ligatures w14:val="standardContextual"/>
        </w:rPr>
        <w:t>（</w:t>
      </w:r>
      <w:r>
        <w:rPr>
          <w:rFonts w:ascii="仿宋_GB2312" w:hAnsi="Times New Roman" w:eastAsia="仿宋_GB2312" w:cs="Times New Roman"/>
          <w:snapToGrid w:val="0"/>
          <w:color w:val="000000"/>
          <w:spacing w:val="2"/>
          <w:kern w:val="0"/>
          <w:sz w:val="28"/>
          <w:szCs w:val="28"/>
          <w:lang w:eastAsia="zh-CN"/>
          <w14:ligatures w14:val="standardContextual"/>
        </w:rPr>
        <w:t>身份证、学生证、参赛证</w:t>
      </w:r>
      <w:r>
        <w:rPr>
          <w:rFonts w:hint="eastAsia" w:ascii="仿宋_GB2312" w:hAnsi="Times New Roman" w:eastAsia="仿宋_GB2312" w:cs="Times New Roman"/>
          <w:snapToGrid w:val="0"/>
          <w:color w:val="000000"/>
          <w:spacing w:val="2"/>
          <w:kern w:val="0"/>
          <w:sz w:val="28"/>
          <w:szCs w:val="28"/>
          <w:lang w:eastAsia="zh-CN"/>
          <w14:ligatures w14:val="standardContextual"/>
        </w:rPr>
        <w:t>）</w:t>
      </w:r>
      <w:r>
        <w:rPr>
          <w:rFonts w:ascii="仿宋_GB2312" w:hAnsi="Times New Roman" w:eastAsia="仿宋_GB2312" w:cs="Times New Roman"/>
          <w:snapToGrid w:val="0"/>
          <w:color w:val="000000"/>
          <w:spacing w:val="2"/>
          <w:kern w:val="0"/>
          <w:sz w:val="28"/>
          <w:szCs w:val="28"/>
          <w:lang w:eastAsia="zh-CN"/>
          <w14:ligatures w14:val="standardContextual"/>
        </w:rPr>
        <w:t>，不得迟到。严禁参赛选手携带与竞赛无关的电子设备、通讯设备及其他相关资料与用品入场。</w:t>
      </w:r>
    </w:p>
    <w:p w14:paraId="6C444D03">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ascii="楷体_GB2312" w:hAnsi="Times New Roman" w:eastAsia="楷体_GB2312" w:cs="Times New Roman"/>
          <w:b/>
          <w:bCs/>
          <w:snapToGrid w:val="0"/>
          <w:color w:val="000000"/>
          <w:spacing w:val="-5"/>
          <w:kern w:val="0"/>
          <w:sz w:val="28"/>
          <w:szCs w:val="28"/>
          <w:lang w:eastAsia="zh-CN"/>
          <w14:ligatures w14:val="standardContextual"/>
        </w:rPr>
        <w:t>（</w:t>
      </w:r>
      <w:r>
        <w:rPr>
          <w:rFonts w:hint="eastAsia" w:ascii="楷体_GB2312" w:hAnsi="Times New Roman" w:eastAsia="楷体_GB2312" w:cs="Times New Roman"/>
          <w:b/>
          <w:bCs/>
          <w:snapToGrid w:val="0"/>
          <w:color w:val="000000"/>
          <w:spacing w:val="-5"/>
          <w:kern w:val="0"/>
          <w:sz w:val="28"/>
          <w:szCs w:val="28"/>
          <w:lang w:val="en-US" w:eastAsia="zh-CN"/>
          <w14:ligatures w14:val="standardContextual"/>
        </w:rPr>
        <w:t>八</w:t>
      </w:r>
      <w:r>
        <w:rPr>
          <w:rFonts w:ascii="楷体_GB2312" w:hAnsi="Times New Roman" w:eastAsia="楷体_GB2312" w:cs="Times New Roman"/>
          <w:b/>
          <w:bCs/>
          <w:snapToGrid w:val="0"/>
          <w:color w:val="000000"/>
          <w:spacing w:val="-5"/>
          <w:kern w:val="0"/>
          <w:sz w:val="28"/>
          <w:szCs w:val="28"/>
          <w:lang w:eastAsia="zh-CN"/>
          <w14:ligatures w14:val="standardContextual"/>
        </w:rPr>
        <w:t>）正式比赛</w:t>
      </w:r>
    </w:p>
    <w:p w14:paraId="7F18F66D">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参赛选手凭二次加密号牌进入备考室，统一听从裁判长发布的竞赛指令，合理利用现场提供的所有条件完成竞赛任务。竞赛过程中，选手须自觉接受裁判员的监督和警示，以确保比赛人身及设备安全。选手因个人操作失误造成人身安全事故和设备故障时，裁判长有权中止该选手竞赛；如非选手个人因素出现设备故障而无法竞赛，由裁判长视具体情况做出裁决，如裁判长确定设备故障可由技术支持人员排除故障后继续竞赛，将给参赛选手补足所耽误的竞赛时间。竞赛结束后，参赛选手须完成现场清理并经裁判员同意后方可离开</w:t>
      </w:r>
      <w:r>
        <w:rPr>
          <w:rFonts w:hint="eastAsia" w:ascii="仿宋_GB2312" w:hAnsi="Times New Roman" w:eastAsia="仿宋_GB2312" w:cs="Times New Roman"/>
          <w:snapToGrid w:val="0"/>
          <w:color w:val="000000"/>
          <w:spacing w:val="2"/>
          <w:kern w:val="0"/>
          <w:sz w:val="28"/>
          <w:szCs w:val="28"/>
          <w:lang w:eastAsia="zh-CN"/>
          <w14:ligatures w14:val="standardContextual"/>
        </w:rPr>
        <w:t>。</w:t>
      </w:r>
    </w:p>
    <w:p w14:paraId="2EB6A41E">
      <w:pPr>
        <w:widowControl/>
        <w:numPr>
          <w:ilvl w:val="0"/>
          <w:numId w:val="0"/>
        </w:numPr>
        <w:kinsoku w:val="0"/>
        <w:autoSpaceDE w:val="0"/>
        <w:autoSpaceDN w:val="0"/>
        <w:adjustRightInd w:val="0"/>
        <w:snapToGrid w:val="0"/>
        <w:spacing w:line="540" w:lineRule="exact"/>
        <w:ind w:firstLine="528" w:firstLineChars="200"/>
        <w:contextualSpacing/>
        <w:jc w:val="left"/>
        <w:textAlignment w:val="baseline"/>
        <w:rPr>
          <w:rFonts w:hint="eastAsia" w:ascii="黑体" w:hAnsi="黑体" w:eastAsia="黑体" w:cs="黑体"/>
          <w:snapToGrid w:val="0"/>
          <w:color w:val="000000"/>
          <w:spacing w:val="-8"/>
          <w:kern w:val="0"/>
          <w:sz w:val="28"/>
          <w:szCs w:val="28"/>
          <w:lang w:eastAsia="zh-CN"/>
          <w14:ligatures w14:val="standardContextual"/>
        </w:rPr>
      </w:pPr>
      <w:r>
        <w:rPr>
          <w:rFonts w:hint="eastAsia" w:ascii="黑体" w:hAnsi="黑体" w:eastAsia="黑体" w:cs="黑体"/>
          <w:snapToGrid w:val="0"/>
          <w:color w:val="000000"/>
          <w:spacing w:val="-8"/>
          <w:kern w:val="0"/>
          <w:sz w:val="28"/>
          <w:szCs w:val="28"/>
          <w:lang w:val="en-US" w:eastAsia="zh-CN"/>
          <w14:ligatures w14:val="standardContextual"/>
        </w:rPr>
        <w:t>六、</w:t>
      </w:r>
      <w:r>
        <w:rPr>
          <w:rFonts w:hint="eastAsia" w:ascii="黑体" w:hAnsi="黑体" w:eastAsia="黑体" w:cs="黑体"/>
          <w:snapToGrid w:val="0"/>
          <w:color w:val="000000"/>
          <w:spacing w:val="-8"/>
          <w:kern w:val="0"/>
          <w:sz w:val="28"/>
          <w:szCs w:val="28"/>
          <w:lang w:eastAsia="zh-CN"/>
          <w14:ligatures w14:val="standardContextual"/>
        </w:rPr>
        <w:t>比</w:t>
      </w:r>
      <w:r>
        <w:rPr>
          <w:rFonts w:ascii="黑体" w:hAnsi="黑体" w:eastAsia="黑体" w:cs="黑体"/>
          <w:snapToGrid w:val="0"/>
          <w:color w:val="000000"/>
          <w:spacing w:val="-8"/>
          <w:kern w:val="0"/>
          <w:sz w:val="28"/>
          <w:szCs w:val="28"/>
          <w:lang w:eastAsia="zh-CN"/>
          <w14:ligatures w14:val="standardContextual"/>
        </w:rPr>
        <w:t>赛场地设备</w:t>
      </w:r>
      <w:r>
        <w:rPr>
          <w:rFonts w:hint="eastAsia" w:ascii="黑体" w:hAnsi="黑体" w:eastAsia="黑体" w:cs="黑体"/>
          <w:snapToGrid w:val="0"/>
          <w:color w:val="000000"/>
          <w:spacing w:val="-8"/>
          <w:kern w:val="0"/>
          <w:sz w:val="28"/>
          <w:szCs w:val="28"/>
          <w:lang w:eastAsia="zh-CN"/>
          <w14:ligatures w14:val="standardContextual"/>
        </w:rPr>
        <w:t>及安全</w:t>
      </w:r>
    </w:p>
    <w:p w14:paraId="6A7E45BC">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14" w:name="bookmark32"/>
      <w:bookmarkEnd w:id="14"/>
      <w:r>
        <w:rPr>
          <w:rFonts w:hint="eastAsia" w:ascii="楷体_GB2312" w:hAnsi="Times New Roman" w:eastAsia="楷体_GB2312" w:cs="Times New Roman"/>
          <w:b/>
          <w:bCs/>
          <w:snapToGrid w:val="0"/>
          <w:color w:val="000000"/>
          <w:spacing w:val="-5"/>
          <w:kern w:val="0"/>
          <w:sz w:val="28"/>
          <w:szCs w:val="28"/>
          <w:lang w:eastAsia="zh-CN"/>
          <w14:ligatures w14:val="standardContextual"/>
        </w:rPr>
        <w:t>（一）</w:t>
      </w:r>
      <w:r>
        <w:rPr>
          <w:rFonts w:ascii="楷体_GB2312" w:hAnsi="Times New Roman" w:eastAsia="楷体_GB2312" w:cs="Times New Roman"/>
          <w:b/>
          <w:bCs/>
          <w:snapToGrid w:val="0"/>
          <w:color w:val="000000"/>
          <w:spacing w:val="-5"/>
          <w:kern w:val="0"/>
          <w:sz w:val="28"/>
          <w:szCs w:val="28"/>
          <w:lang w:eastAsia="zh-CN"/>
          <w14:ligatures w14:val="standardContextual"/>
        </w:rPr>
        <w:t>赛场描述</w:t>
      </w:r>
    </w:p>
    <w:p w14:paraId="449A3428">
      <w:pPr>
        <w:widowControl/>
        <w:kinsoku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比赛场地划分为检录、候赛室、比赛场、参赛设备存储区、裁判工作区、承办校/参赛人员休息室等区域。比赛场地</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设有</w:t>
      </w:r>
      <w:r>
        <w:rPr>
          <w:rFonts w:ascii="仿宋_GB2312" w:hAnsi="Times New Roman" w:eastAsia="仿宋_GB2312" w:cs="Times New Roman"/>
          <w:snapToGrid w:val="0"/>
          <w:color w:val="000000"/>
          <w:spacing w:val="2"/>
          <w:kern w:val="0"/>
          <w:sz w:val="28"/>
          <w:szCs w:val="28"/>
          <w:lang w:eastAsia="zh-CN"/>
          <w14:ligatures w14:val="standardContextual"/>
        </w:rPr>
        <w:t>完善的引导标识和监控设施设备，竞赛现场全程高清录音录像。</w:t>
      </w:r>
    </w:p>
    <w:p w14:paraId="177768A5">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（二）</w:t>
      </w:r>
      <w:r>
        <w:rPr>
          <w:rFonts w:ascii="楷体_GB2312" w:hAnsi="Times New Roman" w:eastAsia="楷体_GB2312" w:cs="Times New Roman"/>
          <w:b/>
          <w:bCs/>
          <w:snapToGrid w:val="0"/>
          <w:color w:val="000000"/>
          <w:spacing w:val="-5"/>
          <w:kern w:val="0"/>
          <w:sz w:val="28"/>
          <w:szCs w:val="28"/>
          <w:lang w:eastAsia="zh-CN"/>
          <w14:ligatures w14:val="standardContextual"/>
        </w:rPr>
        <w:t>设备要求</w:t>
      </w:r>
    </w:p>
    <w:p w14:paraId="3EE917F1">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项目一“幼儿游戏观察与分析”所需的比赛视频、视频播放设备、答题纸及必要的书写用品由赛项统一提供，并安排相应的比赛场地。</w:t>
      </w:r>
    </w:p>
    <w:p w14:paraId="2C0BFE30">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项目二</w:t>
      </w:r>
      <w:r>
        <w:rPr>
          <w:rFonts w:hint="default" w:ascii="仿宋_GB2312" w:hAnsi="Times New Roman" w:eastAsia="仿宋_GB2312" w:cs="Times New Roman"/>
          <w:snapToGrid w:val="0"/>
          <w:color w:val="000000"/>
          <w:spacing w:val="2"/>
          <w:kern w:val="0"/>
          <w:sz w:val="28"/>
          <w:szCs w:val="28"/>
          <w:lang w:val="en-US" w:eastAsia="zh-CN"/>
          <w14:ligatures w14:val="standardContextual"/>
        </w:rPr>
        <w:t>“自选项目技能展示”</w:t>
      </w:r>
      <w:r>
        <w:rPr>
          <w:rFonts w:ascii="仿宋_GB2312" w:hAnsi="Times New Roman" w:eastAsia="仿宋_GB2312" w:cs="Times New Roman"/>
          <w:snapToGrid w:val="0"/>
          <w:color w:val="000000"/>
          <w:spacing w:val="2"/>
          <w:kern w:val="0"/>
          <w:sz w:val="28"/>
          <w:szCs w:val="28"/>
          <w:lang w:eastAsia="zh-CN"/>
          <w14:ligatures w14:val="standardContextual"/>
        </w:rPr>
        <w:t>所需设备和材料不做统一要求，承办院校为参赛队伍提供现有设备和材料清单，供参赛队伍选择使用，不足部分由</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参赛队伍自行准备。</w:t>
      </w:r>
    </w:p>
    <w:p w14:paraId="745EF652">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项目二</w:t>
      </w:r>
      <w:r>
        <w:rPr>
          <w:rFonts w:hint="default" w:ascii="仿宋_GB2312" w:hAnsi="Times New Roman" w:eastAsia="仿宋_GB2312" w:cs="Times New Roman"/>
          <w:snapToGrid w:val="0"/>
          <w:color w:val="000000"/>
          <w:spacing w:val="2"/>
          <w:kern w:val="0"/>
          <w:sz w:val="28"/>
          <w:szCs w:val="28"/>
          <w:lang w:val="en-US" w:eastAsia="zh-CN"/>
          <w14:ligatures w14:val="standardContextual"/>
        </w:rPr>
        <w:t>“自选项目技能展示”</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承办院校向参赛队伍提供的设备信息清单如表2所示。</w:t>
      </w:r>
    </w:p>
    <w:p w14:paraId="162DC1AF">
      <w:pPr>
        <w:widowControl/>
        <w:kinsoku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br w:type="page"/>
      </w:r>
    </w:p>
    <w:p w14:paraId="411C11B5">
      <w:pPr>
        <w:kinsoku w:val="0"/>
        <w:autoSpaceDE w:val="0"/>
        <w:autoSpaceDN w:val="0"/>
        <w:adjustRightInd w:val="0"/>
        <w:snapToGrid w:val="0"/>
        <w:spacing w:line="540" w:lineRule="exact"/>
        <w:contextualSpacing/>
        <w:jc w:val="center"/>
        <w:textAlignment w:val="baseline"/>
        <w:rPr>
          <w:rFonts w:hint="eastAsia" w:ascii="宋体" w:hAnsi="宋体" w:eastAsia="宋体" w:cs="Arial"/>
          <w:b/>
          <w:bCs/>
          <w:snapToGrid w:val="0"/>
          <w:color w:val="000000"/>
          <w:kern w:val="0"/>
          <w:sz w:val="24"/>
          <w:szCs w:val="24"/>
          <w:lang w:val="en-US" w:eastAsia="zh-CN" w:bidi="ar-SA"/>
          <w14:ligatures w14:val="standardContextual"/>
        </w:rPr>
      </w:pPr>
      <w:r>
        <w:rPr>
          <w:rFonts w:ascii="宋体" w:hAnsi="宋体" w:eastAsia="宋体" w:cs="Arial"/>
          <w:b/>
          <w:bCs/>
          <w:snapToGrid w:val="0"/>
          <w:color w:val="000000"/>
          <w:kern w:val="0"/>
          <w:sz w:val="24"/>
          <w:szCs w:val="24"/>
          <w:lang w:val="en-US" w:eastAsia="zh-CN" w:bidi="ar-SA"/>
          <w14:ligatures w14:val="standardContextual"/>
        </w:rPr>
        <w:t>表2  承办院校提供的设备和场地信息清单</w:t>
      </w:r>
    </w:p>
    <w:tbl>
      <w:tblPr>
        <w:tblStyle w:val="5"/>
        <w:tblW w:w="88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3"/>
        <w:gridCol w:w="2093"/>
        <w:gridCol w:w="1914"/>
        <w:gridCol w:w="1671"/>
        <w:gridCol w:w="1682"/>
      </w:tblGrid>
      <w:tr w14:paraId="7852FB43">
        <w:trPr>
          <w:trHeight w:val="858" w:hRule="atLeast"/>
        </w:trPr>
        <w:tc>
          <w:tcPr>
            <w:tcW w:w="1523" w:type="dxa"/>
            <w:vAlign w:val="center"/>
          </w:tcPr>
          <w:p w14:paraId="5C03CD06">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承办院校</w:t>
            </w:r>
          </w:p>
        </w:tc>
        <w:tc>
          <w:tcPr>
            <w:tcW w:w="7360" w:type="dxa"/>
            <w:gridSpan w:val="4"/>
            <w:vAlign w:val="center"/>
          </w:tcPr>
          <w:p w14:paraId="0C145B47">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海南科技职业大学</w:t>
            </w:r>
          </w:p>
        </w:tc>
      </w:tr>
      <w:tr w14:paraId="2E50EC31">
        <w:trPr>
          <w:trHeight w:val="666" w:hRule="atLeast"/>
        </w:trPr>
        <w:tc>
          <w:tcPr>
            <w:tcW w:w="1523" w:type="dxa"/>
            <w:vAlign w:val="center"/>
          </w:tcPr>
          <w:p w14:paraId="2664A3F2">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赛项</w:t>
            </w:r>
          </w:p>
        </w:tc>
        <w:tc>
          <w:tcPr>
            <w:tcW w:w="7360" w:type="dxa"/>
            <w:gridSpan w:val="4"/>
            <w:vAlign w:val="center"/>
          </w:tcPr>
          <w:p w14:paraId="3B608FD6">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t>幼儿教育技能</w:t>
            </w:r>
          </w:p>
        </w:tc>
      </w:tr>
      <w:tr w14:paraId="144FAA8E">
        <w:trPr>
          <w:trHeight w:val="559" w:hRule="atLeast"/>
        </w:trPr>
        <w:tc>
          <w:tcPr>
            <w:tcW w:w="1523" w:type="dxa"/>
            <w:vAlign w:val="center"/>
          </w:tcPr>
          <w:p w14:paraId="33BC1525">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类别</w:t>
            </w:r>
          </w:p>
        </w:tc>
        <w:tc>
          <w:tcPr>
            <w:tcW w:w="2093" w:type="dxa"/>
            <w:vAlign w:val="center"/>
          </w:tcPr>
          <w:p w14:paraId="0B8313C9">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名称</w:t>
            </w:r>
          </w:p>
        </w:tc>
        <w:tc>
          <w:tcPr>
            <w:tcW w:w="1914" w:type="dxa"/>
            <w:vAlign w:val="center"/>
          </w:tcPr>
          <w:p w14:paraId="238553B7">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型号</w:t>
            </w:r>
          </w:p>
        </w:tc>
        <w:tc>
          <w:tcPr>
            <w:tcW w:w="1671" w:type="dxa"/>
            <w:vAlign w:val="center"/>
          </w:tcPr>
          <w:p w14:paraId="35AFC59A">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台套数</w:t>
            </w:r>
          </w:p>
        </w:tc>
        <w:tc>
          <w:tcPr>
            <w:tcW w:w="1682" w:type="dxa"/>
            <w:vAlign w:val="center"/>
          </w:tcPr>
          <w:p w14:paraId="748215BE">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备注</w:t>
            </w:r>
          </w:p>
        </w:tc>
      </w:tr>
      <w:tr w14:paraId="37A8C718">
        <w:trPr>
          <w:trHeight w:val="1020" w:hRule="atLeast"/>
        </w:trPr>
        <w:tc>
          <w:tcPr>
            <w:tcW w:w="1523" w:type="dxa"/>
            <w:vMerge w:val="restart"/>
            <w:tcBorders>
              <w:bottom w:val="nil"/>
            </w:tcBorders>
            <w:vAlign w:val="center"/>
          </w:tcPr>
          <w:p w14:paraId="33442F80">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硬件</w:t>
            </w:r>
          </w:p>
        </w:tc>
        <w:tc>
          <w:tcPr>
            <w:tcW w:w="2093" w:type="dxa"/>
            <w:vAlign w:val="center"/>
          </w:tcPr>
          <w:p w14:paraId="1BBEF2C8">
            <w:pPr>
              <w:widowControl/>
              <w:kinsoku w:val="0"/>
              <w:autoSpaceDE w:val="0"/>
              <w:autoSpaceDN w:val="0"/>
              <w:adjustRightInd w:val="0"/>
              <w:snapToGrid w:val="0"/>
              <w:contextualSpacing/>
              <w:jc w:val="center"/>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可移动电子屏</w:t>
            </w:r>
          </w:p>
        </w:tc>
        <w:tc>
          <w:tcPr>
            <w:tcW w:w="1914" w:type="dxa"/>
            <w:vAlign w:val="center"/>
          </w:tcPr>
          <w:p w14:paraId="148A3A87">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海康威视/云蝶</w:t>
            </w:r>
          </w:p>
        </w:tc>
        <w:tc>
          <w:tcPr>
            <w:tcW w:w="1671" w:type="dxa"/>
            <w:vAlign w:val="center"/>
          </w:tcPr>
          <w:p w14:paraId="26E65595">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1 台</w:t>
            </w:r>
          </w:p>
        </w:tc>
        <w:tc>
          <w:tcPr>
            <w:tcW w:w="1682" w:type="dxa"/>
            <w:vAlign w:val="center"/>
          </w:tcPr>
          <w:p w14:paraId="40156401">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524C13BA">
        <w:trPr>
          <w:trHeight w:val="1020" w:hRule="atLeast"/>
        </w:trPr>
        <w:tc>
          <w:tcPr>
            <w:tcW w:w="1523" w:type="dxa"/>
            <w:vMerge w:val="continue"/>
            <w:tcBorders>
              <w:top w:val="nil"/>
              <w:bottom w:val="nil"/>
            </w:tcBorders>
          </w:tcPr>
          <w:p w14:paraId="7078E10A">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286C5C45">
            <w:pPr>
              <w:widowControl/>
              <w:kinsoku w:val="0"/>
              <w:autoSpaceDE w:val="0"/>
              <w:autoSpaceDN w:val="0"/>
              <w:adjustRightInd w:val="0"/>
              <w:snapToGrid w:val="0"/>
              <w:contextualSpacing/>
              <w:jc w:val="center"/>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支架</w:t>
            </w:r>
            <w:r>
              <w:rPr>
                <w:rFonts w:ascii="方正仿宋_GB2312" w:hAnsi="方正仿宋_GB2312" w:eastAsia="方正仿宋_GB2312" w:cs="方正仿宋_GB2312"/>
                <w:snapToGrid w:val="0"/>
                <w:color w:val="000000"/>
                <w:kern w:val="0"/>
                <w:sz w:val="24"/>
                <w:szCs w:val="24"/>
                <w:lang w:eastAsia="zh-CN" w:bidi="ar"/>
                <w14:ligatures w14:val="standardContextual"/>
              </w:rPr>
              <w:t>白板</w:t>
            </w:r>
          </w:p>
        </w:tc>
        <w:tc>
          <w:tcPr>
            <w:tcW w:w="1914" w:type="dxa"/>
            <w:vAlign w:val="center"/>
          </w:tcPr>
          <w:p w14:paraId="4C3F502B">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90*120cm</w:t>
            </w:r>
          </w:p>
        </w:tc>
        <w:tc>
          <w:tcPr>
            <w:tcW w:w="1671" w:type="dxa"/>
            <w:vAlign w:val="center"/>
          </w:tcPr>
          <w:p w14:paraId="0CBDE468">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ascii="Times New Roman" w:hAnsi="Times New Roman" w:eastAsia="方正仿宋_GB2312" w:cs="Times New Roman"/>
                <w:snapToGrid w:val="0"/>
                <w:color w:val="000000"/>
                <w:kern w:val="0"/>
                <w:sz w:val="24"/>
                <w:szCs w:val="24"/>
                <w:lang w:eastAsia="zh-CN" w:bidi="ar"/>
                <w14:ligatures w14:val="standardContextual"/>
              </w:rPr>
              <w:t>1 块</w:t>
            </w:r>
          </w:p>
        </w:tc>
        <w:tc>
          <w:tcPr>
            <w:tcW w:w="1682" w:type="dxa"/>
            <w:vAlign w:val="center"/>
          </w:tcPr>
          <w:p w14:paraId="668B52A7">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373B555E">
        <w:trPr>
          <w:trHeight w:val="1020" w:hRule="atLeast"/>
        </w:trPr>
        <w:tc>
          <w:tcPr>
            <w:tcW w:w="1523" w:type="dxa"/>
            <w:vMerge w:val="continue"/>
            <w:tcBorders>
              <w:top w:val="nil"/>
            </w:tcBorders>
          </w:tcPr>
          <w:p w14:paraId="21B56E1B">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55927036">
            <w:pPr>
              <w:kinsoku w:val="0"/>
              <w:autoSpaceDE w:val="0"/>
              <w:autoSpaceDN w:val="0"/>
              <w:adjustRightInd w:val="0"/>
              <w:snapToGrid w:val="0"/>
              <w:spacing w:before="78"/>
              <w:contextualSpacing/>
              <w:jc w:val="center"/>
              <w:textAlignment w:val="baseline"/>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pP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立式钢</w:t>
            </w:r>
            <w:r>
              <w:rPr>
                <w:rFonts w:ascii="方正仿宋_GB2312" w:hAnsi="方正仿宋_GB2312" w:eastAsia="方正仿宋_GB2312" w:cs="方正仿宋_GB2312"/>
                <w:snapToGrid w:val="0"/>
                <w:color w:val="000000"/>
                <w:kern w:val="0"/>
                <w:sz w:val="24"/>
                <w:szCs w:val="24"/>
                <w:lang w:val="en-US" w:eastAsia="zh-CN" w:bidi="ar"/>
                <w14:ligatures w14:val="standardContextual"/>
              </w:rPr>
              <w:t>琴</w:t>
            </w:r>
          </w:p>
        </w:tc>
        <w:tc>
          <w:tcPr>
            <w:tcW w:w="1914" w:type="dxa"/>
            <w:vAlign w:val="center"/>
          </w:tcPr>
          <w:p w14:paraId="6EFF36C6">
            <w:pPr>
              <w:kinsoku w:val="0"/>
              <w:autoSpaceDE w:val="0"/>
              <w:autoSpaceDN w:val="0"/>
              <w:adjustRightInd w:val="0"/>
              <w:snapToGrid w:val="0"/>
              <w:spacing w:before="71"/>
              <w:ind w:firstLine="720" w:firstLineChars="300"/>
              <w:contextualSpacing/>
              <w:jc w:val="both"/>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ascii="Times New Roman" w:hAnsi="Times New Roman" w:eastAsia="方正仿宋_GB2312" w:cs="Times New Roman"/>
                <w:snapToGrid w:val="0"/>
                <w:color w:val="000000"/>
                <w:kern w:val="0"/>
                <w:sz w:val="24"/>
                <w:szCs w:val="24"/>
                <w:lang w:val="en-US" w:eastAsia="zh-CN" w:bidi="ar"/>
                <w14:ligatures w14:val="standardContextual"/>
              </w:rPr>
              <w:t>88 键</w:t>
            </w:r>
          </w:p>
        </w:tc>
        <w:tc>
          <w:tcPr>
            <w:tcW w:w="1671" w:type="dxa"/>
            <w:vAlign w:val="center"/>
          </w:tcPr>
          <w:p w14:paraId="3174763A">
            <w:pPr>
              <w:kinsoku w:val="0"/>
              <w:autoSpaceDE w:val="0"/>
              <w:autoSpaceDN w:val="0"/>
              <w:adjustRightInd w:val="0"/>
              <w:snapToGrid w:val="0"/>
              <w:spacing w:before="78"/>
              <w:contextualSpacing/>
              <w:jc w:val="center"/>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ascii="Times New Roman" w:hAnsi="Times New Roman" w:eastAsia="方正仿宋_GB2312" w:cs="Times New Roman"/>
                <w:snapToGrid w:val="0"/>
                <w:color w:val="000000"/>
                <w:kern w:val="0"/>
                <w:sz w:val="24"/>
                <w:szCs w:val="24"/>
                <w:lang w:val="en-US" w:eastAsia="zh-CN" w:bidi="ar"/>
                <w14:ligatures w14:val="standardContextual"/>
              </w:rPr>
              <w:t>1 台</w:t>
            </w:r>
          </w:p>
        </w:tc>
        <w:tc>
          <w:tcPr>
            <w:tcW w:w="1682" w:type="dxa"/>
            <w:vAlign w:val="center"/>
          </w:tcPr>
          <w:p w14:paraId="269A85DC">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19FE0F3C">
        <w:trPr>
          <w:trHeight w:val="1020" w:hRule="atLeast"/>
        </w:trPr>
        <w:tc>
          <w:tcPr>
            <w:tcW w:w="1523" w:type="dxa"/>
            <w:vMerge w:val="continue"/>
            <w:tcBorders>
              <w:top w:val="nil"/>
            </w:tcBorders>
          </w:tcPr>
          <w:p w14:paraId="79F84D1F">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27FC68CC">
            <w:pPr>
              <w:kinsoku w:val="0"/>
              <w:autoSpaceDE w:val="0"/>
              <w:autoSpaceDN w:val="0"/>
              <w:adjustRightInd w:val="0"/>
              <w:snapToGrid w:val="0"/>
              <w:spacing w:before="78"/>
              <w:contextualSpacing/>
              <w:jc w:val="center"/>
              <w:textAlignment w:val="baseline"/>
              <w:rPr>
                <w:rFonts w:hint="default" w:ascii="方正仿宋_GB2312" w:hAnsi="方正仿宋_GB2312" w:eastAsia="方正仿宋_GB2312" w:cs="方正仿宋_GB2312"/>
                <w:snapToGrid w:val="0"/>
                <w:color w:val="000000"/>
                <w:kern w:val="0"/>
                <w:sz w:val="24"/>
                <w:szCs w:val="24"/>
                <w:lang w:val="en-US" w:eastAsia="zh-CN" w:bidi="ar"/>
                <w14:ligatures w14:val="standardContextual"/>
              </w:rPr>
            </w:pP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幼儿</w:t>
            </w:r>
            <w:r>
              <w:rPr>
                <w:rFonts w:ascii="方正仿宋_GB2312" w:hAnsi="方正仿宋_GB2312" w:eastAsia="方正仿宋_GB2312" w:cs="方正仿宋_GB2312"/>
                <w:snapToGrid w:val="0"/>
                <w:color w:val="000000"/>
                <w:kern w:val="0"/>
                <w:sz w:val="24"/>
                <w:szCs w:val="24"/>
                <w:lang w:val="en-US" w:eastAsia="zh-CN" w:bidi="ar"/>
                <w14:ligatures w14:val="standardContextual"/>
              </w:rPr>
              <w:t>桌</w:t>
            </w: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子</w:t>
            </w:r>
          </w:p>
        </w:tc>
        <w:tc>
          <w:tcPr>
            <w:tcW w:w="1914" w:type="dxa"/>
            <w:vAlign w:val="center"/>
          </w:tcPr>
          <w:p w14:paraId="47647192">
            <w:pPr>
              <w:kinsoku w:val="0"/>
              <w:autoSpaceDE w:val="0"/>
              <w:autoSpaceDN w:val="0"/>
              <w:adjustRightInd w:val="0"/>
              <w:snapToGrid w:val="0"/>
              <w:spacing w:before="74"/>
              <w:ind w:firstLine="480" w:firstLineChars="200"/>
              <w:contextualSpacing/>
              <w:jc w:val="both"/>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120*60</w:t>
            </w:r>
            <w:r>
              <w:rPr>
                <w:rFonts w:hint="default" w:ascii="Times New Roman" w:hAnsi="Times New Roman" w:eastAsia="方正仿宋_GB2312" w:cs="Times New Roman"/>
                <w:snapToGrid w:val="0"/>
                <w:color w:val="000000"/>
                <w:kern w:val="0"/>
                <w:sz w:val="24"/>
                <w:szCs w:val="24"/>
                <w:lang w:val="en-US" w:eastAsia="zh-CN" w:bidi="ar"/>
                <w14:ligatures w14:val="standardContextual"/>
              </w:rPr>
              <w:t>cm</w:t>
            </w:r>
          </w:p>
        </w:tc>
        <w:tc>
          <w:tcPr>
            <w:tcW w:w="1671" w:type="dxa"/>
            <w:vAlign w:val="center"/>
          </w:tcPr>
          <w:p w14:paraId="0F80980D">
            <w:pPr>
              <w:kinsoku w:val="0"/>
              <w:autoSpaceDE w:val="0"/>
              <w:autoSpaceDN w:val="0"/>
              <w:adjustRightInd w:val="0"/>
              <w:snapToGrid w:val="0"/>
              <w:spacing w:before="78"/>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
                <w14:ligatures w14:val="standardContextual"/>
              </w:rPr>
            </w:pPr>
            <w:r>
              <w:rPr>
                <w:rFonts w:ascii="Times New Roman" w:hAnsi="Times New Roman" w:eastAsia="方正仿宋_GB2312" w:cs="Times New Roman"/>
                <w:snapToGrid w:val="0"/>
                <w:color w:val="000000"/>
                <w:kern w:val="0"/>
                <w:sz w:val="24"/>
                <w:szCs w:val="24"/>
                <w:lang w:val="en-US" w:eastAsia="zh-CN" w:bidi="ar"/>
                <w14:ligatures w14:val="standardContextual"/>
              </w:rPr>
              <w:t>1</w:t>
            </w:r>
            <w:r>
              <w:rPr>
                <w:rFonts w:hint="eastAsia" w:ascii="Times New Roman" w:hAnsi="Times New Roman" w:eastAsia="方正仿宋_GB2312" w:cs="Times New Roman"/>
                <w:snapToGrid w:val="0"/>
                <w:color w:val="000000"/>
                <w:kern w:val="0"/>
                <w:sz w:val="24"/>
                <w:szCs w:val="24"/>
                <w:lang w:val="en-US" w:eastAsia="zh-CN" w:bidi="ar"/>
                <w14:ligatures w14:val="standardContextual"/>
              </w:rPr>
              <w:t xml:space="preserve"> 台</w:t>
            </w:r>
          </w:p>
        </w:tc>
        <w:tc>
          <w:tcPr>
            <w:tcW w:w="1682" w:type="dxa"/>
            <w:vAlign w:val="center"/>
          </w:tcPr>
          <w:p w14:paraId="748ADE72">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29591D4F">
        <w:trPr>
          <w:trHeight w:val="1020" w:hRule="atLeast"/>
        </w:trPr>
        <w:tc>
          <w:tcPr>
            <w:tcW w:w="1523" w:type="dxa"/>
            <w:vMerge w:val="continue"/>
            <w:tcBorders>
              <w:top w:val="nil"/>
            </w:tcBorders>
          </w:tcPr>
          <w:p w14:paraId="5219EFE8">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1597B606">
            <w:pPr>
              <w:kinsoku w:val="0"/>
              <w:autoSpaceDE w:val="0"/>
              <w:autoSpaceDN w:val="0"/>
              <w:adjustRightInd w:val="0"/>
              <w:snapToGrid w:val="0"/>
              <w:spacing w:before="78"/>
              <w:contextualSpacing/>
              <w:jc w:val="center"/>
              <w:textAlignment w:val="baseline"/>
              <w:rPr>
                <w:rFonts w:hint="default" w:ascii="方正仿宋_GB2312" w:hAnsi="方正仿宋_GB2312" w:eastAsia="方正仿宋_GB2312" w:cs="方正仿宋_GB2312"/>
                <w:snapToGrid w:val="0"/>
                <w:color w:val="000000"/>
                <w:kern w:val="0"/>
                <w:sz w:val="24"/>
                <w:szCs w:val="24"/>
                <w:lang w:val="en-US" w:eastAsia="zh-CN" w:bidi="ar"/>
                <w14:ligatures w14:val="standardContextual"/>
              </w:rPr>
            </w:pP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幼儿靠背椅</w:t>
            </w:r>
          </w:p>
        </w:tc>
        <w:tc>
          <w:tcPr>
            <w:tcW w:w="1914" w:type="dxa"/>
            <w:vAlign w:val="center"/>
          </w:tcPr>
          <w:p w14:paraId="714EC9A4">
            <w:pPr>
              <w:kinsoku w:val="0"/>
              <w:autoSpaceDE w:val="0"/>
              <w:autoSpaceDN w:val="0"/>
              <w:adjustRightInd w:val="0"/>
              <w:snapToGrid w:val="0"/>
              <w:spacing w:before="74"/>
              <w:ind w:firstLine="480" w:firstLineChars="200"/>
              <w:contextualSpacing/>
              <w:jc w:val="left"/>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35*33*49</w:t>
            </w:r>
            <w:r>
              <w:rPr>
                <w:rFonts w:hint="default" w:ascii="Times New Roman" w:hAnsi="Times New Roman" w:eastAsia="方正仿宋_GB2312" w:cs="Times New Roman"/>
                <w:snapToGrid w:val="0"/>
                <w:color w:val="000000"/>
                <w:kern w:val="0"/>
                <w:sz w:val="24"/>
                <w:szCs w:val="24"/>
                <w:lang w:val="en-US" w:eastAsia="zh-CN" w:bidi="ar"/>
                <w14:ligatures w14:val="standardContextual"/>
              </w:rPr>
              <w:t>cm</w:t>
            </w:r>
          </w:p>
        </w:tc>
        <w:tc>
          <w:tcPr>
            <w:tcW w:w="1671" w:type="dxa"/>
            <w:vAlign w:val="center"/>
          </w:tcPr>
          <w:p w14:paraId="1F0B67EF">
            <w:pPr>
              <w:kinsoku w:val="0"/>
              <w:autoSpaceDE w:val="0"/>
              <w:autoSpaceDN w:val="0"/>
              <w:adjustRightInd w:val="0"/>
              <w:snapToGrid w:val="0"/>
              <w:spacing w:before="78"/>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4张</w:t>
            </w:r>
          </w:p>
        </w:tc>
        <w:tc>
          <w:tcPr>
            <w:tcW w:w="1682" w:type="dxa"/>
            <w:vAlign w:val="center"/>
          </w:tcPr>
          <w:p w14:paraId="3ACB4AAA">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5E14EC50">
        <w:trPr>
          <w:trHeight w:val="1020" w:hRule="atLeast"/>
        </w:trPr>
        <w:tc>
          <w:tcPr>
            <w:tcW w:w="1523" w:type="dxa"/>
            <w:vMerge w:val="continue"/>
            <w:tcBorders>
              <w:top w:val="nil"/>
            </w:tcBorders>
          </w:tcPr>
          <w:p w14:paraId="5E20A824">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395088F7">
            <w:pPr>
              <w:widowControl/>
              <w:kinsoku w:val="0"/>
              <w:autoSpaceDE w:val="0"/>
              <w:autoSpaceDN w:val="0"/>
              <w:adjustRightInd w:val="0"/>
              <w:snapToGrid w:val="0"/>
              <w:contextualSpacing/>
              <w:jc w:val="center"/>
              <w:textAlignment w:val="baseline"/>
              <w:rPr>
                <w:rFonts w:hint="default" w:ascii="方正仿宋_GB2312" w:hAnsi="方正仿宋_GB2312" w:eastAsia="方正仿宋_GB2312" w:cs="方正仿宋_GB2312"/>
                <w:snapToGrid w:val="0"/>
                <w:color w:val="000000"/>
                <w:kern w:val="0"/>
                <w:sz w:val="24"/>
                <w:szCs w:val="24"/>
                <w:lang w:val="en-US" w:eastAsia="zh-CN" w:bidi="ar"/>
                <w14:ligatures w14:val="standardContextual"/>
              </w:rPr>
            </w:pPr>
            <w:r>
              <w:rPr>
                <w:rFonts w:hint="eastAsia" w:ascii="方正仿宋_GB2312" w:hAnsi="方正仿宋_GB2312" w:eastAsia="方正仿宋_GB2312" w:cs="方正仿宋_GB2312"/>
                <w:snapToGrid w:val="0"/>
                <w:color w:val="000000"/>
                <w:kern w:val="0"/>
                <w:sz w:val="24"/>
                <w:szCs w:val="24"/>
                <w:lang w:eastAsia="zh-CN" w:bidi="ar"/>
                <w14:ligatures w14:val="standardContextual"/>
              </w:rPr>
              <w:t>学生桌</w:t>
            </w:r>
            <w:r>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t>子</w:t>
            </w:r>
          </w:p>
        </w:tc>
        <w:tc>
          <w:tcPr>
            <w:tcW w:w="1914" w:type="dxa"/>
            <w:vAlign w:val="center"/>
          </w:tcPr>
          <w:p w14:paraId="0D9D4978">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110*40</w:t>
            </w:r>
            <w:r>
              <w:rPr>
                <w:rFonts w:hint="default" w:ascii="Times New Roman" w:hAnsi="Times New Roman" w:eastAsia="方正仿宋_GB2312" w:cs="Times New Roman"/>
                <w:snapToGrid w:val="0"/>
                <w:color w:val="000000"/>
                <w:kern w:val="0"/>
                <w:sz w:val="24"/>
                <w:szCs w:val="24"/>
                <w:lang w:val="en-US" w:eastAsia="zh-CN" w:bidi="ar"/>
                <w14:ligatures w14:val="standardContextual"/>
              </w:rPr>
              <w:t>cm</w:t>
            </w:r>
          </w:p>
        </w:tc>
        <w:tc>
          <w:tcPr>
            <w:tcW w:w="1671" w:type="dxa"/>
            <w:vAlign w:val="center"/>
          </w:tcPr>
          <w:p w14:paraId="6EEC24A4">
            <w:pPr>
              <w:widowControl/>
              <w:kinsoku w:val="0"/>
              <w:autoSpaceDE w:val="0"/>
              <w:autoSpaceDN w:val="0"/>
              <w:adjustRightInd w:val="0"/>
              <w:snapToGrid w:val="0"/>
              <w:contextualSpacing/>
              <w:jc w:val="center"/>
              <w:textAlignment w:val="baseline"/>
              <w:rPr>
                <w:rFonts w:hint="default" w:ascii="Times New Roman" w:hAnsi="Times New Roman" w:eastAsia="方正仿宋_GB2312" w:cs="Times New Roman"/>
                <w:snapToGrid w:val="0"/>
                <w:color w:val="000000"/>
                <w:kern w:val="0"/>
                <w:sz w:val="24"/>
                <w:szCs w:val="24"/>
                <w:lang w:val="en-US"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2张</w:t>
            </w:r>
          </w:p>
        </w:tc>
        <w:tc>
          <w:tcPr>
            <w:tcW w:w="1682" w:type="dxa"/>
            <w:vAlign w:val="center"/>
          </w:tcPr>
          <w:p w14:paraId="5ADEE6FF">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3AE08C2B">
        <w:trPr>
          <w:trHeight w:val="1020" w:hRule="atLeast"/>
        </w:trPr>
        <w:tc>
          <w:tcPr>
            <w:tcW w:w="1523" w:type="dxa"/>
            <w:vMerge w:val="continue"/>
            <w:tcBorders>
              <w:top w:val="nil"/>
              <w:bottom w:val="nil"/>
            </w:tcBorders>
          </w:tcPr>
          <w:p w14:paraId="1EC72FD2">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zh-CN"/>
                <w14:ligatures w14:val="standardContextual"/>
              </w:rPr>
            </w:pPr>
          </w:p>
        </w:tc>
        <w:tc>
          <w:tcPr>
            <w:tcW w:w="2093" w:type="dxa"/>
            <w:vAlign w:val="center"/>
          </w:tcPr>
          <w:p w14:paraId="624D6933">
            <w:pPr>
              <w:widowControl/>
              <w:kinsoku w:val="0"/>
              <w:autoSpaceDE w:val="0"/>
              <w:autoSpaceDN w:val="0"/>
              <w:adjustRightInd w:val="0"/>
              <w:snapToGrid w:val="0"/>
              <w:contextualSpacing/>
              <w:jc w:val="center"/>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翻页笔</w:t>
            </w:r>
          </w:p>
        </w:tc>
        <w:tc>
          <w:tcPr>
            <w:tcW w:w="1914" w:type="dxa"/>
            <w:vAlign w:val="center"/>
          </w:tcPr>
          <w:p w14:paraId="3A85B4E4">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c>
          <w:tcPr>
            <w:tcW w:w="1671" w:type="dxa"/>
            <w:vAlign w:val="center"/>
          </w:tcPr>
          <w:p w14:paraId="004B2ED1">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1</w:t>
            </w:r>
            <w:r>
              <w:rPr>
                <w:rFonts w:ascii="Times New Roman" w:hAnsi="Times New Roman" w:eastAsia="方正仿宋_GB2312" w:cs="Times New Roman"/>
                <w:snapToGrid w:val="0"/>
                <w:color w:val="000000"/>
                <w:kern w:val="0"/>
                <w:sz w:val="24"/>
                <w:szCs w:val="24"/>
                <w:lang w:eastAsia="zh-CN" w:bidi="ar"/>
                <w14:ligatures w14:val="standardContextual"/>
              </w:rPr>
              <w:t>支</w:t>
            </w:r>
          </w:p>
        </w:tc>
        <w:tc>
          <w:tcPr>
            <w:tcW w:w="1682" w:type="dxa"/>
            <w:vAlign w:val="center"/>
          </w:tcPr>
          <w:p w14:paraId="5B004D70">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r>
      <w:tr w14:paraId="5B11BAE8">
        <w:trPr>
          <w:trHeight w:val="1020" w:hRule="atLeast"/>
        </w:trPr>
        <w:tc>
          <w:tcPr>
            <w:tcW w:w="1523" w:type="dxa"/>
            <w:vMerge w:val="continue"/>
            <w:tcBorders>
              <w:top w:val="nil"/>
            </w:tcBorders>
          </w:tcPr>
          <w:p w14:paraId="317E7D3B">
            <w:pPr>
              <w:widowControl/>
              <w:kinsoku w:val="0"/>
              <w:autoSpaceDE w:val="0"/>
              <w:autoSpaceDN w:val="0"/>
              <w:adjustRightInd w:val="0"/>
              <w:snapToGrid w:val="0"/>
              <w:spacing w:line="540" w:lineRule="exact"/>
              <w:contextualSpacing/>
              <w:jc w:val="left"/>
              <w:textAlignment w:val="baseline"/>
              <w:rPr>
                <w:rFonts w:ascii="Arial" w:hAnsi="Arial" w:eastAsia="Arial" w:cs="Arial"/>
                <w:snapToGrid w:val="0"/>
                <w:color w:val="000000"/>
                <w:kern w:val="0"/>
                <w:sz w:val="20"/>
                <w:szCs w:val="21"/>
                <w:lang w:eastAsia="en-US"/>
                <w14:ligatures w14:val="standardContextual"/>
              </w:rPr>
            </w:pPr>
          </w:p>
        </w:tc>
        <w:tc>
          <w:tcPr>
            <w:tcW w:w="2093" w:type="dxa"/>
            <w:vAlign w:val="center"/>
          </w:tcPr>
          <w:p w14:paraId="269962C5">
            <w:pPr>
              <w:kinsoku w:val="0"/>
              <w:autoSpaceDE w:val="0"/>
              <w:autoSpaceDN w:val="0"/>
              <w:adjustRightInd w:val="0"/>
              <w:snapToGrid w:val="0"/>
              <w:spacing w:before="78"/>
              <w:contextualSpacing/>
              <w:jc w:val="center"/>
              <w:textAlignment w:val="baseline"/>
              <w:rPr>
                <w:rFonts w:hint="eastAsia" w:ascii="方正仿宋_GB2312" w:hAnsi="方正仿宋_GB2312" w:eastAsia="方正仿宋_GB2312" w:cs="方正仿宋_GB2312"/>
                <w:snapToGrid w:val="0"/>
                <w:color w:val="000000"/>
                <w:kern w:val="0"/>
                <w:sz w:val="24"/>
                <w:szCs w:val="24"/>
                <w:lang w:val="en-US" w:eastAsia="zh-CN" w:bidi="ar"/>
                <w14:ligatures w14:val="standardContextual"/>
              </w:rPr>
            </w:pPr>
            <w:r>
              <w:rPr>
                <w:rFonts w:ascii="方正仿宋_GB2312" w:hAnsi="方正仿宋_GB2312" w:eastAsia="方正仿宋_GB2312" w:cs="方正仿宋_GB2312"/>
                <w:snapToGrid w:val="0"/>
                <w:color w:val="000000"/>
                <w:kern w:val="0"/>
                <w:sz w:val="24"/>
                <w:szCs w:val="24"/>
                <w:lang w:val="en-US" w:eastAsia="zh-CN" w:bidi="ar"/>
                <w14:ligatures w14:val="standardContextual"/>
              </w:rPr>
              <w:t>白板笔</w:t>
            </w:r>
          </w:p>
        </w:tc>
        <w:tc>
          <w:tcPr>
            <w:tcW w:w="1914" w:type="dxa"/>
            <w:vAlign w:val="center"/>
          </w:tcPr>
          <w:p w14:paraId="2B91BD56">
            <w:pPr>
              <w:widowControl/>
              <w:kinsoku w:val="0"/>
              <w:autoSpaceDE w:val="0"/>
              <w:autoSpaceDN w:val="0"/>
              <w:adjustRightInd w:val="0"/>
              <w:snapToGrid w:val="0"/>
              <w:contextualSpacing/>
              <w:jc w:val="center"/>
              <w:textAlignment w:val="baseline"/>
              <w:rPr>
                <w:rFonts w:ascii="Times New Roman" w:hAnsi="Times New Roman" w:eastAsia="方正仿宋_GB2312" w:cs="Times New Roman"/>
                <w:snapToGrid w:val="0"/>
                <w:color w:val="000000"/>
                <w:kern w:val="0"/>
                <w:sz w:val="24"/>
                <w:szCs w:val="24"/>
                <w:lang w:eastAsia="zh-CN" w:bidi="ar"/>
                <w14:ligatures w14:val="standardContextual"/>
              </w:rPr>
            </w:pPr>
          </w:p>
        </w:tc>
        <w:tc>
          <w:tcPr>
            <w:tcW w:w="1671" w:type="dxa"/>
            <w:vAlign w:val="center"/>
          </w:tcPr>
          <w:p w14:paraId="6BDA1976">
            <w:pPr>
              <w:kinsoku w:val="0"/>
              <w:autoSpaceDE w:val="0"/>
              <w:autoSpaceDN w:val="0"/>
              <w:adjustRightInd w:val="0"/>
              <w:snapToGrid w:val="0"/>
              <w:spacing w:before="78"/>
              <w:contextualSpacing/>
              <w:jc w:val="center"/>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hint="eastAsia" w:ascii="Times New Roman" w:hAnsi="Times New Roman" w:eastAsia="方正仿宋_GB2312" w:cs="Times New Roman"/>
                <w:snapToGrid w:val="0"/>
                <w:color w:val="000000"/>
                <w:kern w:val="0"/>
                <w:sz w:val="24"/>
                <w:szCs w:val="24"/>
                <w:lang w:val="en-US" w:eastAsia="zh-CN" w:bidi="ar"/>
                <w14:ligatures w14:val="standardContextual"/>
              </w:rPr>
              <w:t>4</w:t>
            </w:r>
            <w:r>
              <w:rPr>
                <w:rFonts w:ascii="Times New Roman" w:hAnsi="Times New Roman" w:eastAsia="方正仿宋_GB2312" w:cs="Times New Roman"/>
                <w:snapToGrid w:val="0"/>
                <w:color w:val="000000"/>
                <w:kern w:val="0"/>
                <w:sz w:val="24"/>
                <w:szCs w:val="24"/>
                <w:lang w:val="en-US" w:eastAsia="zh-CN" w:bidi="ar"/>
                <w14:ligatures w14:val="standardContextual"/>
              </w:rPr>
              <w:t xml:space="preserve"> 支</w:t>
            </w:r>
          </w:p>
        </w:tc>
        <w:tc>
          <w:tcPr>
            <w:tcW w:w="1682" w:type="dxa"/>
            <w:vAlign w:val="center"/>
          </w:tcPr>
          <w:p w14:paraId="65FEF902">
            <w:pPr>
              <w:kinsoku w:val="0"/>
              <w:autoSpaceDE w:val="0"/>
              <w:autoSpaceDN w:val="0"/>
              <w:adjustRightInd w:val="0"/>
              <w:snapToGrid w:val="0"/>
              <w:spacing w:before="116"/>
              <w:ind w:left="84" w:right="63" w:hanging="8"/>
              <w:contextualSpacing/>
              <w:jc w:val="center"/>
              <w:textAlignment w:val="baseline"/>
              <w:rPr>
                <w:rFonts w:ascii="Times New Roman" w:hAnsi="Times New Roman" w:eastAsia="方正仿宋_GB2312" w:cs="Times New Roman"/>
                <w:snapToGrid w:val="0"/>
                <w:color w:val="000000"/>
                <w:kern w:val="0"/>
                <w:sz w:val="24"/>
                <w:szCs w:val="24"/>
                <w:lang w:val="en-US" w:eastAsia="zh-CN" w:bidi="ar"/>
                <w14:ligatures w14:val="standardContextual"/>
              </w:rPr>
            </w:pPr>
            <w:r>
              <w:rPr>
                <w:rFonts w:ascii="Times New Roman" w:hAnsi="Times New Roman" w:eastAsia="方正仿宋_GB2312" w:cs="Times New Roman"/>
                <w:snapToGrid w:val="0"/>
                <w:color w:val="000000"/>
                <w:kern w:val="0"/>
                <w:sz w:val="24"/>
                <w:szCs w:val="24"/>
                <w:lang w:val="en-US" w:eastAsia="zh-CN" w:bidi="ar"/>
                <w14:ligatures w14:val="standardContextual"/>
              </w:rPr>
              <w:t>有黑色、 红色两色</w:t>
            </w:r>
          </w:p>
        </w:tc>
      </w:tr>
    </w:tbl>
    <w:p w14:paraId="2A1ADD2F">
      <w:pPr>
        <w:kinsoku w:val="0"/>
        <w:autoSpaceDE w:val="0"/>
        <w:autoSpaceDN w:val="0"/>
        <w:adjustRightInd w:val="0"/>
        <w:snapToGrid w:val="0"/>
        <w:spacing w:line="540" w:lineRule="exact"/>
        <w:contextualSpacing/>
        <w:textAlignment w:val="baseline"/>
        <w:rPr>
          <w:rFonts w:ascii="Arial" w:hAnsi="Arial" w:eastAsia="等线" w:cs="Arial"/>
          <w:snapToGrid w:val="0"/>
          <w:color w:val="000000"/>
          <w:kern w:val="0"/>
          <w:sz w:val="21"/>
          <w:szCs w:val="21"/>
          <w:lang w:val="en-US" w:eastAsia="zh-CN" w:bidi="ar-SA"/>
          <w14:ligatures w14:val="standardContextual"/>
        </w:rPr>
      </w:pPr>
    </w:p>
    <w:tbl>
      <w:tblPr>
        <w:tblStyle w:val="5"/>
        <w:tblW w:w="89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8"/>
        <w:gridCol w:w="7608"/>
      </w:tblGrid>
      <w:tr w14:paraId="2629ECE7">
        <w:trPr>
          <w:trHeight w:val="4549" w:hRule="atLeast"/>
        </w:trPr>
        <w:tc>
          <w:tcPr>
            <w:tcW w:w="1368" w:type="dxa"/>
            <w:vAlign w:val="center"/>
          </w:tcPr>
          <w:p w14:paraId="78105017">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技术支持</w:t>
            </w:r>
          </w:p>
        </w:tc>
        <w:tc>
          <w:tcPr>
            <w:tcW w:w="7608" w:type="dxa"/>
          </w:tcPr>
          <w:p w14:paraId="18411F11">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（一）技术保障：</w:t>
            </w:r>
          </w:p>
          <w:p w14:paraId="516CF7CE">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1、配备教学设备专职保障团队，保障竞赛场地软硬件设备正常运行；</w:t>
            </w:r>
          </w:p>
          <w:p w14:paraId="7A6F53AA">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2、配备电力保障团队，保障竞赛场地电力供给，确保竞赛场地照明设备正常运行，确保教室照明充足均匀，以满足比赛需要；</w:t>
            </w:r>
          </w:p>
          <w:p w14:paraId="7CC62682">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（二）安全操作规范要求：</w:t>
            </w:r>
          </w:p>
          <w:p w14:paraId="40F5DC42">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1、所有设备由技术人员统一开启及关闭；</w:t>
            </w:r>
          </w:p>
          <w:p w14:paraId="4615BAF1">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2、严禁在设备运行过程中进行违规操作，如强行关机、拔插设备连接线、随意移动等；</w:t>
            </w:r>
          </w:p>
          <w:p w14:paraId="54AF7F14">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3、如需链接外部存储设备拷贝文件需确保设备无病毒；</w:t>
            </w:r>
          </w:p>
          <w:p w14:paraId="4B4D96E7">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如设备出现故障，应立即停止使用，并通知技术人员进行维修，严禁私自处理；</w:t>
            </w:r>
          </w:p>
          <w:p w14:paraId="2529A2BD">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4、参赛队伍自带的设备，承办校不提供技术支持，参赛队伍自行负责。</w:t>
            </w:r>
          </w:p>
        </w:tc>
      </w:tr>
      <w:tr w14:paraId="65E97F81">
        <w:trPr>
          <w:trHeight w:val="1835" w:hRule="atLeast"/>
        </w:trPr>
        <w:tc>
          <w:tcPr>
            <w:tcW w:w="1368" w:type="dxa"/>
            <w:vAlign w:val="center"/>
          </w:tcPr>
          <w:p w14:paraId="2FCD2F3A">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场地及环境</w:t>
            </w:r>
          </w:p>
        </w:tc>
        <w:tc>
          <w:tcPr>
            <w:tcW w:w="7608" w:type="dxa"/>
          </w:tcPr>
          <w:p w14:paraId="0F42104D">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室内场地：</w:t>
            </w:r>
          </w:p>
          <w:p w14:paraId="1C6E1A32">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1、各竞赛场地均光照和通风良好；</w:t>
            </w:r>
          </w:p>
          <w:p w14:paraId="04ECF89E">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2、每个场地面积大于长宽高8.4*7.8*2.6m，提供不小于4*6m的选手展示空间；</w:t>
            </w:r>
          </w:p>
          <w:p w14:paraId="39FAECCD">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3、提供水电、互联网连接，场内无上下水、天然气等提供。</w:t>
            </w:r>
          </w:p>
        </w:tc>
      </w:tr>
      <w:tr w14:paraId="07AAB0CA">
        <w:trPr>
          <w:trHeight w:val="873" w:hRule="atLeast"/>
        </w:trPr>
        <w:tc>
          <w:tcPr>
            <w:tcW w:w="1368" w:type="dxa"/>
            <w:vAlign w:val="center"/>
          </w:tcPr>
          <w:p w14:paraId="1C2A66B0">
            <w:pPr>
              <w:widowControl w:val="0"/>
              <w:kinsoku w:val="0"/>
              <w:autoSpaceDE w:val="0"/>
              <w:autoSpaceDN w:val="0"/>
              <w:adjustRightInd w:val="0"/>
              <w:snapToGrid w:val="0"/>
              <w:jc w:val="center"/>
              <w:textAlignment w:val="baseline"/>
              <w:rPr>
                <w:rFonts w:hint="eastAsia" w:ascii="方正仿宋_GB2312" w:hAnsi="方正仿宋_GB2312" w:eastAsia="方正仿宋_GB2312" w:cs="方正仿宋_GB2312"/>
                <w:b/>
                <w:bCs/>
                <w:snapToGrid w:val="0"/>
                <w:color w:val="000000"/>
                <w:kern w:val="0"/>
                <w:sz w:val="24"/>
                <w:szCs w:val="24"/>
                <w:lang w:val="en-US" w:eastAsia="zh-CN" w:bidi="ar-SA"/>
                <w14:ligatures w14:val="standardContextual"/>
              </w:rPr>
            </w:pPr>
            <w:r>
              <w:rPr>
                <w:rFonts w:ascii="方正仿宋_GB2312" w:hAnsi="方正仿宋_GB2312" w:eastAsia="方正仿宋_GB2312" w:cs="方正仿宋_GB2312"/>
                <w:b/>
                <w:bCs/>
                <w:snapToGrid w:val="0"/>
                <w:color w:val="000000"/>
                <w:kern w:val="0"/>
                <w:sz w:val="24"/>
                <w:szCs w:val="24"/>
                <w:lang w:val="en-US" w:eastAsia="zh-CN" w:bidi="ar-SA"/>
                <w14:ligatures w14:val="standardContextual"/>
              </w:rPr>
              <w:t>其他</w:t>
            </w:r>
          </w:p>
        </w:tc>
        <w:tc>
          <w:tcPr>
            <w:tcW w:w="7608" w:type="dxa"/>
          </w:tcPr>
          <w:p w14:paraId="76193F95">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1、赛场内提供5米7孔插排两个；</w:t>
            </w:r>
          </w:p>
          <w:p w14:paraId="66D4C1E0">
            <w:pPr>
              <w:widowControl/>
              <w:kinsoku/>
              <w:overflowPunct w:val="0"/>
              <w:autoSpaceDE w:val="0"/>
              <w:autoSpaceDN w:val="0"/>
              <w:adjustRightInd w:val="0"/>
              <w:snapToGrid w:val="0"/>
              <w:ind w:left="105" w:leftChars="50" w:right="105" w:rightChars="50"/>
              <w:contextualSpacing/>
              <w:jc w:val="both"/>
              <w:textAlignment w:val="baseline"/>
              <w:rPr>
                <w:rFonts w:hint="eastAsia" w:ascii="方正仿宋_GB2312" w:hAnsi="方正仿宋_GB2312" w:eastAsia="方正仿宋_GB2312" w:cs="方正仿宋_GB2312"/>
                <w:snapToGrid w:val="0"/>
                <w:color w:val="000000"/>
                <w:kern w:val="0"/>
                <w:sz w:val="24"/>
                <w:szCs w:val="24"/>
                <w:lang w:eastAsia="zh-CN" w:bidi="ar"/>
                <w14:ligatures w14:val="standardContextual"/>
              </w:rPr>
            </w:pPr>
            <w:r>
              <w:rPr>
                <w:rFonts w:ascii="方正仿宋_GB2312" w:hAnsi="方正仿宋_GB2312" w:eastAsia="方正仿宋_GB2312" w:cs="方正仿宋_GB2312"/>
                <w:snapToGrid w:val="0"/>
                <w:color w:val="000000"/>
                <w:kern w:val="0"/>
                <w:sz w:val="24"/>
                <w:szCs w:val="24"/>
                <w:lang w:eastAsia="zh-CN" w:bidi="ar"/>
                <w14:ligatures w14:val="standardContextual"/>
              </w:rPr>
              <w:t>2、A4纸、黑色签字笔、2B铅笔。</w:t>
            </w:r>
          </w:p>
        </w:tc>
      </w:tr>
    </w:tbl>
    <w:p w14:paraId="13DFA195">
      <w:pPr>
        <w:widowControl/>
        <w:kinsoku w:val="0"/>
        <w:autoSpaceDE w:val="0"/>
        <w:autoSpaceDN w:val="0"/>
        <w:adjustRightInd w:val="0"/>
        <w:snapToGrid w:val="0"/>
        <w:spacing w:before="41" w:line="540" w:lineRule="exact"/>
        <w:ind w:left="568"/>
        <w:contextualSpacing/>
        <w:jc w:val="left"/>
        <w:textAlignment w:val="baseline"/>
        <w:rPr>
          <w:rFonts w:hint="eastAsia" w:ascii="仿宋" w:hAnsi="仿宋" w:eastAsia="仿宋" w:cs="仿宋"/>
          <w:b/>
          <w:bCs/>
          <w:snapToGrid w:val="0"/>
          <w:color w:val="000000"/>
          <w:spacing w:val="1"/>
          <w:kern w:val="0"/>
          <w:sz w:val="24"/>
          <w:szCs w:val="24"/>
          <w:lang w:eastAsia="zh-CN"/>
          <w14:ligatures w14:val="standardContextual"/>
        </w:rPr>
      </w:pPr>
      <w:r>
        <w:rPr>
          <w:rFonts w:hint="eastAsia" w:ascii="仿宋" w:hAnsi="仿宋" w:eastAsia="仿宋" w:cs="仿宋"/>
          <w:b/>
          <w:bCs/>
          <w:snapToGrid w:val="0"/>
          <w:color w:val="000000"/>
          <w:spacing w:val="1"/>
          <w:kern w:val="0"/>
          <w:sz w:val="24"/>
          <w:szCs w:val="24"/>
          <w:lang w:eastAsia="zh-CN"/>
          <w14:ligatures w14:val="standardContextual"/>
        </w:rPr>
        <w:t>注：</w:t>
      </w:r>
      <w:r>
        <w:rPr>
          <w:rFonts w:ascii="仿宋" w:hAnsi="仿宋" w:eastAsia="仿宋" w:cs="仿宋"/>
          <w:b/>
          <w:bCs/>
          <w:snapToGrid w:val="0"/>
          <w:color w:val="000000"/>
          <w:spacing w:val="1"/>
          <w:kern w:val="0"/>
          <w:sz w:val="24"/>
          <w:szCs w:val="24"/>
          <w:lang w:eastAsia="zh-CN"/>
          <w14:ligatures w14:val="standardContextual"/>
        </w:rPr>
        <w:t>现场设备技术保障谁提供谁负责。</w:t>
      </w:r>
    </w:p>
    <w:p w14:paraId="1FC27261">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（三）</w:t>
      </w:r>
      <w:r>
        <w:rPr>
          <w:rFonts w:ascii="楷体_GB2312" w:hAnsi="Times New Roman" w:eastAsia="楷体_GB2312" w:cs="Times New Roman"/>
          <w:b/>
          <w:bCs/>
          <w:snapToGrid w:val="0"/>
          <w:color w:val="000000"/>
          <w:spacing w:val="-5"/>
          <w:kern w:val="0"/>
          <w:sz w:val="28"/>
          <w:szCs w:val="28"/>
          <w:lang w:eastAsia="zh-CN"/>
          <w14:ligatures w14:val="standardContextual"/>
        </w:rPr>
        <w:t>赛场安全</w:t>
      </w:r>
    </w:p>
    <w:p w14:paraId="41CB9A27">
      <w:pPr>
        <w:widowControl/>
        <w:kinsoku w:val="0"/>
        <w:autoSpaceDE w:val="0"/>
        <w:autoSpaceDN w:val="0"/>
        <w:adjustRightInd w:val="0"/>
        <w:snapToGrid w:val="0"/>
        <w:spacing w:before="210" w:line="540" w:lineRule="exact"/>
        <w:ind w:left="566"/>
        <w:contextualSpacing/>
        <w:jc w:val="left"/>
        <w:textAlignment w:val="baseline"/>
        <w:outlineLvl w:val="2"/>
        <w:rPr>
          <w:rFonts w:hint="eastAsia" w:ascii="仿宋_GB2312" w:hAnsi="楷体" w:eastAsia="仿宋_GB2312" w:cs="楷体"/>
          <w:b/>
          <w:bCs/>
          <w:snapToGrid w:val="0"/>
          <w:color w:val="000000"/>
          <w:kern w:val="0"/>
          <w:sz w:val="28"/>
          <w:szCs w:val="28"/>
          <w:lang w:eastAsia="zh-CN"/>
          <w14:ligatures w14:val="standardContextual"/>
        </w:rPr>
      </w:pPr>
      <w:bookmarkStart w:id="15" w:name="bookmark36"/>
      <w:bookmarkEnd w:id="15"/>
      <w:r>
        <w:rPr>
          <w:rFonts w:hint="eastAsia" w:ascii="仿宋_GB2312" w:hAnsi="Times New Roman" w:eastAsia="仿宋_GB2312" w:cs="Times New Roman"/>
          <w:b/>
          <w:bCs/>
          <w:snapToGrid w:val="0"/>
          <w:color w:val="000000"/>
          <w:spacing w:val="-4"/>
          <w:kern w:val="0"/>
          <w:sz w:val="28"/>
          <w:szCs w:val="28"/>
          <w:lang w:eastAsia="zh-CN"/>
          <w14:ligatures w14:val="standardContextual"/>
        </w:rPr>
        <w:t>1.</w:t>
      </w:r>
      <w:r>
        <w:rPr>
          <w:rFonts w:hint="eastAsia" w:ascii="仿宋_GB2312" w:hAnsi="楷体" w:eastAsia="仿宋_GB2312" w:cs="楷体"/>
          <w:b/>
          <w:bCs/>
          <w:snapToGrid w:val="0"/>
          <w:color w:val="000000"/>
          <w:spacing w:val="-4"/>
          <w:kern w:val="0"/>
          <w:sz w:val="28"/>
          <w:szCs w:val="28"/>
          <w:lang w:eastAsia="zh-CN"/>
          <w14:ligatures w14:val="standardContextual"/>
        </w:rPr>
        <w:t>赛场场地安全</w:t>
      </w:r>
    </w:p>
    <w:p w14:paraId="2530CC98">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（1）</w:t>
      </w:r>
      <w:r>
        <w:rPr>
          <w:rFonts w:hint="eastAsia" w:ascii="仿宋_GB2312" w:hAnsi="Times New Roman" w:eastAsia="仿宋_GB2312" w:cs="Times New Roman"/>
          <w:snapToGrid w:val="0"/>
          <w:color w:val="000000"/>
          <w:spacing w:val="2"/>
          <w:kern w:val="0"/>
          <w:sz w:val="28"/>
          <w:szCs w:val="28"/>
          <w:lang w:eastAsia="zh-CN"/>
          <w14:ligatures w14:val="standardContextual"/>
        </w:rPr>
        <w:t>承办院校</w:t>
      </w:r>
      <w:r>
        <w:rPr>
          <w:rFonts w:ascii="仿宋_GB2312" w:hAnsi="Times New Roman" w:eastAsia="仿宋_GB2312" w:cs="Times New Roman"/>
          <w:snapToGrid w:val="0"/>
          <w:color w:val="000000"/>
          <w:spacing w:val="2"/>
          <w:kern w:val="0"/>
          <w:sz w:val="28"/>
          <w:szCs w:val="28"/>
          <w:lang w:eastAsia="zh-CN"/>
          <w14:ligatures w14:val="standardContextual"/>
        </w:rPr>
        <w:t>在赛前组织专人对比赛现场进行检查，并对安全工作提出要求。比赛涉及的器材、设备应符合有关安全规定，充分考虑比赛所涉及的器材、设备、耗材可能存在的不安全因素，采取有效防范措施规避风险。</w:t>
      </w:r>
    </w:p>
    <w:p w14:paraId="3DF1E6C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（2）赛场周围设立警戒线，防止无关人员进入发生意外事件。</w:t>
      </w:r>
    </w:p>
    <w:p w14:paraId="491E6950">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（3）承办单位将制定赛场用电预案，提供医疗和消防安全保障。</w:t>
      </w:r>
    </w:p>
    <w:p w14:paraId="78BA602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（4）承办</w:t>
      </w:r>
      <w:r>
        <w:rPr>
          <w:rFonts w:hint="eastAsia" w:ascii="仿宋_GB2312" w:hAnsi="Times New Roman" w:eastAsia="仿宋_GB2312" w:cs="Times New Roman"/>
          <w:snapToGrid w:val="0"/>
          <w:color w:val="000000"/>
          <w:spacing w:val="2"/>
          <w:kern w:val="0"/>
          <w:sz w:val="28"/>
          <w:szCs w:val="28"/>
          <w:lang w:eastAsia="zh-CN"/>
          <w14:ligatures w14:val="standardContextual"/>
        </w:rPr>
        <w:t>院校</w:t>
      </w:r>
      <w:r>
        <w:rPr>
          <w:rFonts w:ascii="仿宋_GB2312" w:hAnsi="Times New Roman" w:eastAsia="仿宋_GB2312" w:cs="Times New Roman"/>
          <w:snapToGrid w:val="0"/>
          <w:color w:val="000000"/>
          <w:spacing w:val="2"/>
          <w:kern w:val="0"/>
          <w:sz w:val="28"/>
          <w:szCs w:val="28"/>
          <w:lang w:eastAsia="zh-CN"/>
          <w14:ligatures w14:val="standardContextual"/>
        </w:rPr>
        <w:t>制定赛场和</w:t>
      </w:r>
      <w:r>
        <w:rPr>
          <w:rFonts w:hint="eastAsia" w:ascii="仿宋_GB2312" w:hAnsi="Times New Roman" w:eastAsia="仿宋_GB2312" w:cs="Times New Roman"/>
          <w:snapToGrid w:val="0"/>
          <w:color w:val="000000"/>
          <w:spacing w:val="2"/>
          <w:kern w:val="0"/>
          <w:sz w:val="28"/>
          <w:szCs w:val="28"/>
          <w:lang w:eastAsia="zh-CN"/>
          <w14:ligatures w14:val="standardContextual"/>
        </w:rPr>
        <w:t>休息</w:t>
      </w:r>
      <w:r>
        <w:rPr>
          <w:rFonts w:ascii="仿宋_GB2312" w:hAnsi="Times New Roman" w:eastAsia="仿宋_GB2312" w:cs="Times New Roman"/>
          <w:snapToGrid w:val="0"/>
          <w:color w:val="000000"/>
          <w:spacing w:val="2"/>
          <w:kern w:val="0"/>
          <w:sz w:val="28"/>
          <w:szCs w:val="28"/>
          <w:lang w:eastAsia="zh-CN"/>
          <w14:ligatures w14:val="standardContextual"/>
        </w:rPr>
        <w:t>室的人员疏导方案。</w:t>
      </w:r>
    </w:p>
    <w:p w14:paraId="25FE2EB8">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（5）大赛期间，承办</w:t>
      </w:r>
      <w:r>
        <w:rPr>
          <w:rFonts w:hint="eastAsia" w:ascii="仿宋_GB2312" w:hAnsi="Times New Roman" w:eastAsia="仿宋_GB2312" w:cs="Times New Roman"/>
          <w:snapToGrid w:val="0"/>
          <w:color w:val="000000"/>
          <w:spacing w:val="2"/>
          <w:kern w:val="0"/>
          <w:sz w:val="28"/>
          <w:szCs w:val="28"/>
          <w:lang w:eastAsia="zh-CN"/>
          <w14:ligatures w14:val="standardContextual"/>
        </w:rPr>
        <w:t>院校</w:t>
      </w:r>
      <w:r>
        <w:rPr>
          <w:rFonts w:ascii="仿宋_GB2312" w:hAnsi="Times New Roman" w:eastAsia="仿宋_GB2312" w:cs="Times New Roman"/>
          <w:snapToGrid w:val="0"/>
          <w:color w:val="000000"/>
          <w:spacing w:val="2"/>
          <w:kern w:val="0"/>
          <w:sz w:val="28"/>
          <w:szCs w:val="28"/>
          <w:lang w:eastAsia="zh-CN"/>
          <w14:ligatures w14:val="standardContextual"/>
        </w:rPr>
        <w:t>在赛场管理的关键岗位增加力量，建立安全</w:t>
      </w:r>
      <w:r>
        <w:rPr>
          <w:rFonts w:hint="eastAsia" w:ascii="仿宋_GB2312" w:hAnsi="Times New Roman" w:eastAsia="仿宋_GB2312" w:cs="Times New Roman"/>
          <w:snapToGrid w:val="0"/>
          <w:color w:val="000000"/>
          <w:spacing w:val="2"/>
          <w:kern w:val="0"/>
          <w:sz w:val="28"/>
          <w:szCs w:val="28"/>
          <w:lang w:eastAsia="zh-CN"/>
          <w14:ligatures w14:val="standardContextual"/>
        </w:rPr>
        <w:t>管理日志</w:t>
      </w:r>
      <w:r>
        <w:rPr>
          <w:rFonts w:ascii="仿宋_GB2312" w:hAnsi="Times New Roman" w:eastAsia="仿宋_GB2312" w:cs="Times New Roman"/>
          <w:snapToGrid w:val="0"/>
          <w:color w:val="000000"/>
          <w:spacing w:val="2"/>
          <w:kern w:val="0"/>
          <w:sz w:val="28"/>
          <w:szCs w:val="28"/>
          <w:lang w:eastAsia="zh-CN"/>
          <w14:ligatures w14:val="standardContextual"/>
        </w:rPr>
        <w:t>。</w:t>
      </w:r>
    </w:p>
    <w:p w14:paraId="2E8E8888">
      <w:pPr>
        <w:widowControl/>
        <w:kinsoku w:val="0"/>
        <w:autoSpaceDE w:val="0"/>
        <w:autoSpaceDN w:val="0"/>
        <w:adjustRightInd w:val="0"/>
        <w:snapToGrid w:val="0"/>
        <w:spacing w:before="210" w:line="540" w:lineRule="exact"/>
        <w:ind w:left="566"/>
        <w:contextualSpacing/>
        <w:jc w:val="left"/>
        <w:textAlignment w:val="baseline"/>
        <w:outlineLvl w:val="2"/>
        <w:rPr>
          <w:rFonts w:ascii="仿宋_GB2312" w:hAnsi="Times New Roman" w:eastAsia="仿宋_GB2312" w:cs="Times New Roman"/>
          <w:b/>
          <w:bCs/>
          <w:snapToGrid w:val="0"/>
          <w:color w:val="000000"/>
          <w:spacing w:val="-4"/>
          <w:kern w:val="0"/>
          <w:sz w:val="28"/>
          <w:szCs w:val="28"/>
          <w:lang w:eastAsia="zh-CN"/>
          <w14:ligatures w14:val="standardContextual"/>
        </w:rPr>
      </w:pPr>
      <w:r>
        <w:rPr>
          <w:rFonts w:ascii="仿宋_GB2312" w:hAnsi="Times New Roman" w:eastAsia="仿宋_GB2312" w:cs="Times New Roman"/>
          <w:b/>
          <w:bCs/>
          <w:snapToGrid w:val="0"/>
          <w:color w:val="000000"/>
          <w:spacing w:val="-4"/>
          <w:kern w:val="0"/>
          <w:sz w:val="28"/>
          <w:szCs w:val="28"/>
          <w:lang w:eastAsia="zh-CN"/>
          <w14:ligatures w14:val="standardContextual"/>
        </w:rPr>
        <w:t>2.赛场人员安全</w:t>
      </w:r>
    </w:p>
    <w:p w14:paraId="2D0CF8D8">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（1）参赛单位须为参赛人员（参赛选手、指导教师、领队）购买人身意外伤害保险；有既往病史、患有严重疾病者不得参加比赛。</w:t>
      </w:r>
    </w:p>
    <w:p w14:paraId="1A0963FE">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（2）参赛选手、裁判、工作人员严禁携带通讯、摄录设备和未经许可的记录用具进入比赛区域。如确有需要，由承办院校统一配置，统一管理。</w:t>
      </w:r>
    </w:p>
    <w:p w14:paraId="46573B14">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（3）所有人员严禁在竞赛场所和禁烟区域吸烟。比赛期间如遇极端天气等意外状况，请各参赛选手、领队、指导教师、工作人员、仲裁组、纪律监督组注意身体健康。如遇身体不适，请及时联系大赛工作人员。</w:t>
      </w:r>
    </w:p>
    <w:p w14:paraId="0679ACBD">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（4）由于比赛涉及专业录制设备等，线路杂多，请注意自身安全，避免误碰通电的各种设备。赛场周围已设立警戒线，无关人员请勿进入，以防发生意外事件。</w:t>
      </w:r>
    </w:p>
    <w:p w14:paraId="00D8E87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（5）各参赛队伍须加强对参与比赛人员的安全教育与安全管理。比赛期间务必请注意自身的人身和财产安全。比赛休息期间外出的教师或选手更要注意交通安全。</w:t>
      </w:r>
    </w:p>
    <w:p w14:paraId="3108BC52">
      <w:pPr>
        <w:widowControl/>
        <w:kinsoku w:val="0"/>
        <w:autoSpaceDE w:val="0"/>
        <w:autoSpaceDN w:val="0"/>
        <w:adjustRightInd w:val="0"/>
        <w:snapToGrid w:val="0"/>
        <w:spacing w:before="210" w:line="540" w:lineRule="exact"/>
        <w:ind w:left="566"/>
        <w:contextualSpacing/>
        <w:jc w:val="left"/>
        <w:textAlignment w:val="baseline"/>
        <w:outlineLvl w:val="2"/>
        <w:rPr>
          <w:rFonts w:ascii="仿宋_GB2312" w:hAnsi="Times New Roman" w:eastAsia="仿宋_GB2312" w:cs="Times New Roman"/>
          <w:b/>
          <w:bCs/>
          <w:snapToGrid w:val="0"/>
          <w:color w:val="000000"/>
          <w:spacing w:val="-4"/>
          <w:kern w:val="0"/>
          <w:sz w:val="28"/>
          <w:szCs w:val="28"/>
          <w:lang w:eastAsia="zh-CN"/>
          <w14:ligatures w14:val="standardContextual"/>
        </w:rPr>
      </w:pPr>
      <w:r>
        <w:rPr>
          <w:rFonts w:ascii="仿宋_GB2312" w:hAnsi="Times New Roman" w:eastAsia="仿宋_GB2312" w:cs="Times New Roman"/>
          <w:b/>
          <w:bCs/>
          <w:snapToGrid w:val="0"/>
          <w:color w:val="000000"/>
          <w:spacing w:val="-4"/>
          <w:kern w:val="0"/>
          <w:sz w:val="28"/>
          <w:szCs w:val="28"/>
          <w:lang w:eastAsia="zh-CN"/>
          <w14:ligatures w14:val="standardContextual"/>
        </w:rPr>
        <w:t>3.</w:t>
      </w:r>
      <w:r>
        <w:rPr>
          <w:rFonts w:hint="eastAsia" w:ascii="仿宋_GB2312" w:hAnsi="Times New Roman" w:eastAsia="仿宋_GB2312" w:cs="Times New Roman"/>
          <w:b/>
          <w:bCs/>
          <w:snapToGrid w:val="0"/>
          <w:color w:val="000000"/>
          <w:spacing w:val="-4"/>
          <w:kern w:val="0"/>
          <w:sz w:val="28"/>
          <w:szCs w:val="28"/>
          <w:lang w:eastAsia="zh-CN"/>
          <w14:ligatures w14:val="standardContextual"/>
        </w:rPr>
        <w:t>应急处置</w:t>
      </w:r>
    </w:p>
    <w:p w14:paraId="43FD833C">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比赛期间发生意外事故，发现者应第一时间报告赛项执委会，同时采取措施，避免事态扩大。赛项执委会应立即启动预案予以解决并报告大赛办。赛项出现重大安全问题可以停赛，是否停赛由大赛办决定。事后，赛项执委会应向大赛办报告详细情况。</w:t>
      </w:r>
    </w:p>
    <w:p w14:paraId="310B5F86">
      <w:pPr>
        <w:widowControl/>
        <w:kinsoku w:val="0"/>
        <w:autoSpaceDE w:val="0"/>
        <w:autoSpaceDN w:val="0"/>
        <w:adjustRightInd w:val="0"/>
        <w:snapToGrid w:val="0"/>
        <w:spacing w:before="210" w:line="540" w:lineRule="exact"/>
        <w:ind w:left="566"/>
        <w:contextualSpacing/>
        <w:jc w:val="left"/>
        <w:textAlignment w:val="baseline"/>
        <w:outlineLvl w:val="2"/>
        <w:rPr>
          <w:rFonts w:ascii="仿宋_GB2312" w:hAnsi="Times New Roman" w:eastAsia="仿宋_GB2312" w:cs="Times New Roman"/>
          <w:b/>
          <w:bCs/>
          <w:snapToGrid w:val="0"/>
          <w:color w:val="000000"/>
          <w:spacing w:val="-4"/>
          <w:kern w:val="0"/>
          <w:sz w:val="28"/>
          <w:szCs w:val="28"/>
          <w:lang w:eastAsia="zh-CN"/>
          <w14:ligatures w14:val="standardContextual"/>
        </w:rPr>
      </w:pPr>
      <w:bookmarkStart w:id="16" w:name="bookmark38"/>
      <w:bookmarkEnd w:id="16"/>
      <w:r>
        <w:rPr>
          <w:rFonts w:ascii="仿宋_GB2312" w:hAnsi="Times New Roman" w:eastAsia="仿宋_GB2312" w:cs="Times New Roman"/>
          <w:b/>
          <w:bCs/>
          <w:snapToGrid w:val="0"/>
          <w:color w:val="000000"/>
          <w:spacing w:val="-4"/>
          <w:kern w:val="0"/>
          <w:sz w:val="28"/>
          <w:szCs w:val="28"/>
          <w:lang w:eastAsia="zh-CN"/>
          <w14:ligatures w14:val="standardContextual"/>
        </w:rPr>
        <w:t>4.</w:t>
      </w:r>
      <w:r>
        <w:rPr>
          <w:rFonts w:hint="eastAsia" w:ascii="仿宋_GB2312" w:hAnsi="Times New Roman" w:eastAsia="仿宋_GB2312" w:cs="Times New Roman"/>
          <w:b/>
          <w:bCs/>
          <w:snapToGrid w:val="0"/>
          <w:color w:val="000000"/>
          <w:spacing w:val="-4"/>
          <w:kern w:val="0"/>
          <w:sz w:val="28"/>
          <w:szCs w:val="28"/>
          <w:lang w:eastAsia="zh-CN"/>
          <w14:ligatures w14:val="standardContextual"/>
        </w:rPr>
        <w:t>处罚措施</w:t>
      </w:r>
    </w:p>
    <w:p w14:paraId="25A915E5">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赛事工作人员违规的，按照相应的制度追究责任。情节恶劣并造成重大安全事故的，由司法机关追究相应法律责任。</w:t>
      </w:r>
    </w:p>
    <w:p w14:paraId="1A471659">
      <w:pPr>
        <w:widowControl/>
        <w:kinsoku w:val="0"/>
        <w:autoSpaceDE w:val="0"/>
        <w:autoSpaceDN w:val="0"/>
        <w:adjustRightInd w:val="0"/>
        <w:snapToGrid w:val="0"/>
        <w:spacing w:line="540" w:lineRule="exact"/>
        <w:ind w:left="504"/>
        <w:contextualSpacing/>
        <w:jc w:val="left"/>
        <w:textAlignment w:val="baseline"/>
        <w:outlineLvl w:val="1"/>
        <w:rPr>
          <w:rFonts w:hint="eastAsia" w:ascii="黑体" w:hAnsi="黑体" w:eastAsia="黑体" w:cs="黑体"/>
          <w:snapToGrid w:val="0"/>
          <w:color w:val="000000"/>
          <w:kern w:val="0"/>
          <w:sz w:val="28"/>
          <w:szCs w:val="28"/>
          <w:lang w:eastAsia="zh-CN"/>
          <w14:ligatures w14:val="standardContextual"/>
        </w:rPr>
      </w:pPr>
      <w:bookmarkStart w:id="17" w:name="bookmark37"/>
      <w:bookmarkEnd w:id="17"/>
      <w:r>
        <w:rPr>
          <w:rFonts w:hint="eastAsia" w:ascii="黑体" w:hAnsi="黑体" w:eastAsia="黑体" w:cs="黑体"/>
          <w:snapToGrid w:val="0"/>
          <w:color w:val="000000"/>
          <w:spacing w:val="6"/>
          <w:kern w:val="0"/>
          <w:sz w:val="28"/>
          <w:szCs w:val="28"/>
          <w:lang w:eastAsia="zh-CN"/>
          <w14:ligatures w14:val="standardContextual"/>
        </w:rPr>
        <w:t>七、</w:t>
      </w:r>
      <w:r>
        <w:rPr>
          <w:rFonts w:ascii="黑体" w:hAnsi="黑体" w:eastAsia="黑体" w:cs="黑体"/>
          <w:snapToGrid w:val="0"/>
          <w:color w:val="000000"/>
          <w:spacing w:val="6"/>
          <w:kern w:val="0"/>
          <w:sz w:val="28"/>
          <w:szCs w:val="28"/>
          <w:lang w:eastAsia="zh-CN"/>
          <w14:ligatures w14:val="standardContextual"/>
        </w:rPr>
        <w:t>评审原则</w:t>
      </w:r>
    </w:p>
    <w:p w14:paraId="0DAB84CC">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成绩评定应充分依据大赛评分要素，坚持公正客观、质量优先、标准统一、透明公开、宁缺毋滥原则，确保评审过程的公正性、客观性和有效性。为保证赛事质量和奖项含金量，如评出的获奖等次、数量未达到设置比例要求，可空缺。</w:t>
      </w:r>
    </w:p>
    <w:p w14:paraId="5CB4DDF8">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（一）</w:t>
      </w:r>
      <w:r>
        <w:rPr>
          <w:rFonts w:ascii="楷体_GB2312" w:hAnsi="Times New Roman" w:eastAsia="楷体_GB2312" w:cs="Times New Roman"/>
          <w:b/>
          <w:bCs/>
          <w:snapToGrid w:val="0"/>
          <w:color w:val="000000"/>
          <w:spacing w:val="-5"/>
          <w:kern w:val="0"/>
          <w:sz w:val="28"/>
          <w:szCs w:val="28"/>
          <w:lang w:eastAsia="zh-CN"/>
          <w14:ligatures w14:val="standardContextual"/>
        </w:rPr>
        <w:t>评分标准</w:t>
      </w:r>
    </w:p>
    <w:p w14:paraId="3C89A4ED">
      <w:pPr>
        <w:widowControl/>
        <w:kinsoku/>
        <w:overflowPunct w:val="0"/>
        <w:autoSpaceDE w:val="0"/>
        <w:autoSpaceDN w:val="0"/>
        <w:adjustRightInd w:val="0"/>
        <w:snapToGrid w:val="0"/>
        <w:spacing w:line="540" w:lineRule="exact"/>
        <w:ind w:firstLine="570" w:firstLineChars="200"/>
        <w:jc w:val="both"/>
        <w:textAlignment w:val="baseline"/>
        <w:rPr>
          <w:rFonts w:hint="eastAsia" w:ascii="仿宋_GB2312" w:hAnsi="Times New Roman" w:eastAsia="仿宋_GB2312" w:cs="Times New Roman"/>
          <w:b/>
          <w:bCs/>
          <w:snapToGrid w:val="0"/>
          <w:color w:val="000000"/>
          <w:spacing w:val="2"/>
          <w:kern w:val="0"/>
          <w:sz w:val="28"/>
          <w:szCs w:val="28"/>
          <w:lang w:val="en-US" w:eastAsia="zh-CN"/>
          <w14:ligatures w14:val="standardContextual"/>
        </w:rPr>
      </w:pPr>
      <w:r>
        <w:rPr>
          <w:rFonts w:hint="eastAsia" w:ascii="仿宋_GB2312" w:hAnsi="Times New Roman" w:eastAsia="仿宋_GB2312" w:cs="Times New Roman"/>
          <w:b/>
          <w:bCs/>
          <w:snapToGrid w:val="0"/>
          <w:color w:val="000000"/>
          <w:spacing w:val="2"/>
          <w:kern w:val="0"/>
          <w:sz w:val="28"/>
          <w:szCs w:val="28"/>
          <w:lang w:val="en-US" w:eastAsia="zh-CN"/>
          <w14:ligatures w14:val="standardContextual"/>
        </w:rPr>
        <w:t>项目一“幼儿游戏观察与分析”</w:t>
      </w:r>
    </w:p>
    <w:p w14:paraId="333254A7">
      <w:pPr>
        <w:keepNext w:val="0"/>
        <w:keepLines w:val="0"/>
        <w:pageBreakBefore w:val="0"/>
        <w:widowControl/>
        <w:kinsoku w:val="0"/>
        <w:wordWrap/>
        <w:overflowPunct/>
        <w:topLinePunct w:val="0"/>
        <w:autoSpaceDE w:val="0"/>
        <w:autoSpaceDN w:val="0"/>
        <w:bidi w:val="0"/>
        <w:adjustRightInd w:val="0"/>
        <w:snapToGrid w:val="0"/>
        <w:spacing w:after="120" w:line="540" w:lineRule="exact"/>
        <w:ind w:left="0" w:leftChars="0" w:firstLine="568" w:firstLineChars="200"/>
        <w:textAlignment w:val="baseline"/>
        <w:rPr>
          <w:rFonts w:hint="eastAsia" w:ascii="Arial" w:hAnsi="Arial" w:eastAsia="Arial" w:cs="Arial"/>
          <w:snapToGrid w:val="0"/>
          <w:color w:val="000000"/>
          <w:kern w:val="0"/>
          <w:sz w:val="21"/>
          <w:szCs w:val="21"/>
          <w:lang w:val="en-US" w:eastAsia="zh-CN" w:bidi="ar-SA"/>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bidi="ar-SA"/>
          <w14:ligatures w14:val="standardContextual"/>
        </w:rPr>
        <w:t>项目一满分100分，分为观察记录与思维品质（20%）、儿童理解与教育理念（40%）、教师角色与教育支持（40%）三个方面，评分细则如表3所示。</w:t>
      </w:r>
    </w:p>
    <w:p w14:paraId="52CCE72F">
      <w:pPr>
        <w:kinsoku w:val="0"/>
        <w:autoSpaceDE w:val="0"/>
        <w:autoSpaceDN w:val="0"/>
        <w:adjustRightInd w:val="0"/>
        <w:snapToGrid w:val="0"/>
        <w:spacing w:line="540" w:lineRule="exact"/>
        <w:contextualSpacing/>
        <w:jc w:val="center"/>
        <w:textAlignment w:val="baseline"/>
        <w:rPr>
          <w:rFonts w:ascii="Arial" w:hAnsi="Arial" w:eastAsia="Arial" w:cs="Arial"/>
          <w:snapToGrid w:val="0"/>
          <w:color w:val="000000"/>
          <w:kern w:val="0"/>
          <w:sz w:val="21"/>
          <w:szCs w:val="21"/>
          <w:lang w:val="en-US" w:eastAsia="en-US" w:bidi="ar-SA"/>
          <w14:ligatures w14:val="standardContextual"/>
        </w:rPr>
      </w:pPr>
      <w:r>
        <w:rPr>
          <w:rFonts w:hint="default" w:ascii="Times New Roman" w:hAnsi="Times New Roman" w:eastAsia="宋体" w:cs="Times New Roman"/>
          <w:b/>
          <w:bCs/>
          <w:snapToGrid w:val="0"/>
          <w:color w:val="000000"/>
          <w:kern w:val="0"/>
          <w:sz w:val="24"/>
          <w:szCs w:val="24"/>
          <w:lang w:val="en-US" w:eastAsia="zh-CN" w:bidi="ar-SA"/>
          <w14:ligatures w14:val="standardContextual"/>
        </w:rPr>
        <w:t>表</w:t>
      </w:r>
      <w:r>
        <w:rPr>
          <w:rFonts w:hint="eastAsia" w:ascii="Times New Roman" w:hAnsi="Times New Roman" w:eastAsia="宋体" w:cs="Times New Roman"/>
          <w:b/>
          <w:bCs/>
          <w:snapToGrid w:val="0"/>
          <w:color w:val="000000"/>
          <w:kern w:val="0"/>
          <w:sz w:val="24"/>
          <w:szCs w:val="24"/>
          <w:lang w:val="en-US" w:eastAsia="zh-CN" w:bidi="ar-SA"/>
          <w14:ligatures w14:val="standardContextual"/>
        </w:rPr>
        <w:t>3</w:t>
      </w:r>
      <w:r>
        <w:rPr>
          <w:rFonts w:hint="default" w:ascii="Times New Roman" w:hAnsi="Times New Roman" w:eastAsia="宋体" w:cs="Times New Roman"/>
          <w:b/>
          <w:bCs/>
          <w:snapToGrid w:val="0"/>
          <w:color w:val="000000"/>
          <w:kern w:val="0"/>
          <w:sz w:val="24"/>
          <w:szCs w:val="24"/>
          <w:lang w:val="en-US" w:eastAsia="zh-CN" w:bidi="ar-SA"/>
          <w14:ligatures w14:val="standardContextual"/>
        </w:rPr>
        <w:t xml:space="preserve">  </w:t>
      </w:r>
      <w:r>
        <w:rPr>
          <w:rFonts w:hint="eastAsia" w:ascii="Times New Roman" w:hAnsi="Times New Roman" w:eastAsia="宋体" w:cs="Times New Roman"/>
          <w:b/>
          <w:bCs/>
          <w:snapToGrid w:val="0"/>
          <w:color w:val="000000"/>
          <w:kern w:val="0"/>
          <w:sz w:val="24"/>
          <w:szCs w:val="24"/>
          <w:lang w:val="en-US" w:eastAsia="zh-CN" w:bidi="ar-SA"/>
          <w14:ligatures w14:val="standardContextual"/>
        </w:rPr>
        <w:t xml:space="preserve">项目一 </w:t>
      </w:r>
      <w:r>
        <w:rPr>
          <w:rFonts w:hint="default" w:ascii="Times New Roman" w:hAnsi="Times New Roman" w:eastAsia="宋体" w:cs="Times New Roman"/>
          <w:b/>
          <w:bCs/>
          <w:snapToGrid w:val="0"/>
          <w:color w:val="000000"/>
          <w:kern w:val="0"/>
          <w:sz w:val="24"/>
          <w:szCs w:val="24"/>
          <w:lang w:val="en-US" w:eastAsia="zh-CN" w:bidi="ar-SA"/>
          <w14:ligatures w14:val="standardContextual"/>
        </w:rPr>
        <w:t>评分细则</w:t>
      </w:r>
    </w:p>
    <w:tbl>
      <w:tblPr>
        <w:tblStyle w:val="3"/>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7635"/>
        <w:gridCol w:w="866"/>
      </w:tblGrid>
      <w:tr w14:paraId="22F3FD89">
        <w:trPr>
          <w:jc w:val="center"/>
        </w:trPr>
        <w:tc>
          <w:tcPr>
            <w:tcW w:w="1284" w:type="dxa"/>
            <w:shd w:val="clear" w:color="auto" w:fill="auto"/>
            <w:vAlign w:val="center"/>
          </w:tcPr>
          <w:p w14:paraId="22DCDA4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b/>
                <w:bCs/>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1"/>
                <w:szCs w:val="21"/>
                <w:lang w:val="en-US" w:eastAsia="zh-CN" w:bidi="ar"/>
                <w14:ligatures w14:val="standardContextual"/>
              </w:rPr>
              <w:t>评价指标</w:t>
            </w:r>
          </w:p>
        </w:tc>
        <w:tc>
          <w:tcPr>
            <w:tcW w:w="7635" w:type="dxa"/>
            <w:shd w:val="clear" w:color="auto" w:fill="auto"/>
            <w:vAlign w:val="center"/>
          </w:tcPr>
          <w:p w14:paraId="7EE37C88">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b/>
                <w:bCs/>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1"/>
                <w:szCs w:val="21"/>
                <w:lang w:val="en-US" w:eastAsia="zh-CN" w:bidi="ar"/>
                <w14:ligatures w14:val="standardContextual"/>
              </w:rPr>
              <w:t>评分标准</w:t>
            </w:r>
          </w:p>
        </w:tc>
        <w:tc>
          <w:tcPr>
            <w:tcW w:w="866" w:type="dxa"/>
            <w:shd w:val="clear" w:color="auto" w:fill="auto"/>
            <w:vAlign w:val="center"/>
          </w:tcPr>
          <w:p w14:paraId="5B109ACD">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b/>
                <w:bCs/>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bCs/>
                <w:snapToGrid w:val="0"/>
                <w:color w:val="000000"/>
                <w:kern w:val="0"/>
                <w:sz w:val="21"/>
                <w:szCs w:val="21"/>
                <w:lang w:val="en-US" w:eastAsia="zh-CN" w:bidi="ar"/>
                <w14:ligatures w14:val="standardContextual"/>
              </w:rPr>
              <w:t>分值</w:t>
            </w:r>
          </w:p>
        </w:tc>
      </w:tr>
      <w:tr w14:paraId="087444A9">
        <w:trPr>
          <w:jc w:val="center"/>
        </w:trPr>
        <w:tc>
          <w:tcPr>
            <w:tcW w:w="1284" w:type="dxa"/>
            <w:shd w:val="clear" w:color="auto" w:fill="auto"/>
            <w:vAlign w:val="center"/>
          </w:tcPr>
          <w:p w14:paraId="038E7110">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snapToGrid w:val="0"/>
                <w:color w:val="000000"/>
                <w:kern w:val="0"/>
                <w:sz w:val="21"/>
                <w:szCs w:val="21"/>
                <w:lang w:val="en-US" w:eastAsia="zh-CN" w:bidi="ar"/>
                <w14:ligatures w14:val="standardContextual"/>
              </w:rPr>
              <w:t>观察记录与思维品质</w:t>
            </w:r>
          </w:p>
        </w:tc>
        <w:tc>
          <w:tcPr>
            <w:tcW w:w="7635" w:type="dxa"/>
            <w:shd w:val="clear" w:color="auto" w:fill="auto"/>
            <w:vAlign w:val="center"/>
          </w:tcPr>
          <w:p w14:paraId="15B1043A">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pP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能围绕指定幼儿，客观、准确地记录其在游戏中的主要行为表现，观察重点突</w:t>
            </w:r>
          </w:p>
          <w:p w14:paraId="1E18341D">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出，内容具体；能够区分观察事实与分析判断，分析思路清晰，逻辑合理，语言表达准确、规范。</w:t>
            </w:r>
          </w:p>
        </w:tc>
        <w:tc>
          <w:tcPr>
            <w:tcW w:w="866" w:type="dxa"/>
            <w:shd w:val="clear" w:color="auto" w:fill="auto"/>
            <w:vAlign w:val="center"/>
          </w:tcPr>
          <w:p w14:paraId="3B8F4ABD">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20分</w:t>
            </w:r>
          </w:p>
        </w:tc>
      </w:tr>
      <w:tr w14:paraId="7D52000E">
        <w:trPr>
          <w:jc w:val="center"/>
        </w:trPr>
        <w:tc>
          <w:tcPr>
            <w:tcW w:w="1284" w:type="dxa"/>
            <w:shd w:val="clear" w:color="auto" w:fill="auto"/>
            <w:vAlign w:val="center"/>
          </w:tcPr>
          <w:p w14:paraId="597A28BE">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snapToGrid w:val="0"/>
                <w:color w:val="000000"/>
                <w:kern w:val="0"/>
                <w:sz w:val="21"/>
                <w:szCs w:val="21"/>
                <w:lang w:val="en-US" w:eastAsia="zh-CN" w:bidi="ar"/>
                <w14:ligatures w14:val="standardContextual"/>
              </w:rPr>
              <w:t>儿童理解与教育理念</w:t>
            </w:r>
          </w:p>
        </w:tc>
        <w:tc>
          <w:tcPr>
            <w:tcW w:w="7635" w:type="dxa"/>
            <w:shd w:val="clear" w:color="auto" w:fill="auto"/>
            <w:vAlign w:val="center"/>
          </w:tcPr>
          <w:p w14:paraId="2F1071D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能依据《3—6岁儿童学习与发展指南》和《幼儿园保育教育质量评估指南》的有关精神，结合具体观察事实，合理分析幼儿的游戏兴趣、行为表现、学习过程及可能的学习与发展需要，体现科学的儿童观、教育观和游戏观，尊重幼儿的主体地位和个体差异。</w:t>
            </w:r>
          </w:p>
        </w:tc>
        <w:tc>
          <w:tcPr>
            <w:tcW w:w="866" w:type="dxa"/>
            <w:shd w:val="clear" w:color="auto" w:fill="auto"/>
            <w:vAlign w:val="center"/>
          </w:tcPr>
          <w:p w14:paraId="778EE68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40分</w:t>
            </w:r>
          </w:p>
        </w:tc>
      </w:tr>
      <w:tr w14:paraId="016252A3">
        <w:trPr>
          <w:jc w:val="center"/>
        </w:trPr>
        <w:tc>
          <w:tcPr>
            <w:tcW w:w="1284" w:type="dxa"/>
            <w:shd w:val="clear" w:color="auto" w:fill="auto"/>
            <w:vAlign w:val="center"/>
          </w:tcPr>
          <w:p w14:paraId="6070ED39">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snapToGrid w:val="0"/>
                <w:color w:val="000000"/>
                <w:kern w:val="0"/>
                <w:sz w:val="21"/>
                <w:szCs w:val="21"/>
                <w:lang w:val="en-US" w:eastAsia="zh-CN" w:bidi="ar"/>
                <w14:ligatures w14:val="standardContextual"/>
              </w:rPr>
              <w:t>教师角色与教育支持</w:t>
            </w:r>
          </w:p>
        </w:tc>
        <w:tc>
          <w:tcPr>
            <w:tcW w:w="7635" w:type="dxa"/>
            <w:shd w:val="clear" w:color="auto" w:fill="auto"/>
            <w:vAlign w:val="center"/>
          </w:tcPr>
          <w:tbl>
            <w:tblPr>
              <w:tblStyle w:val="2"/>
              <w:tblW w:w="0" w:type="auto"/>
              <w:tblCellSpacing w:w="15" w:type="dxa"/>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19"/>
            </w:tblGrid>
            <w:tr w14:paraId="4B45DF80">
              <w:trPr>
                <w:tblCellSpacing w:w="15" w:type="dxa"/>
              </w:trPr>
              <w:tc>
                <w:tcPr>
                  <w:tcW w:w="0" w:type="auto"/>
                  <w:shd w:val="clear" w:color="auto" w:fill="auto"/>
                  <w:vAlign w:val="center"/>
                </w:tcPr>
                <w:p w14:paraId="4FE0E188">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t>能结合幼儿的游戏行为及具体情境，合理分析教师在幼儿游戏中应发挥的作</w:t>
                  </w:r>
                </w:p>
                <w:p w14:paraId="3948614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t>用，对是否需要介入、支持时机及支持方式作出专业判断，并提出具有针对性、科学性和可操作性的教育支持建议，尊重幼儿游戏的自主性，支持幼儿持续探索与学习。</w:t>
                  </w:r>
                </w:p>
              </w:tc>
            </w:tr>
          </w:tbl>
          <w:p w14:paraId="1F0EAB9C">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left"/>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p>
        </w:tc>
        <w:tc>
          <w:tcPr>
            <w:tcW w:w="866" w:type="dxa"/>
            <w:shd w:val="clear" w:color="auto" w:fill="auto"/>
            <w:vAlign w:val="center"/>
          </w:tcPr>
          <w:p w14:paraId="79923EC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default" w:ascii="方正仿宋_GB2312" w:hAnsi="方正仿宋_GB2312" w:eastAsia="方正仿宋_GB2312" w:cs="方正仿宋_GB2312"/>
                <w:snapToGrid w:val="0"/>
                <w:color w:val="000000"/>
                <w:kern w:val="0"/>
                <w:sz w:val="21"/>
                <w:szCs w:val="21"/>
                <w:lang w:val="en-US" w:eastAsia="zh-CN" w:bidi="ar"/>
                <w14:ligatures w14:val="standardContextual"/>
              </w:rPr>
              <w:t>4</w:t>
            </w:r>
            <w:r>
              <w:rPr>
                <w:rFonts w:hint="eastAsia" w:ascii="方正仿宋_GB2312" w:hAnsi="方正仿宋_GB2312" w:eastAsia="方正仿宋_GB2312" w:cs="方正仿宋_GB2312"/>
                <w:snapToGrid w:val="0"/>
                <w:color w:val="000000"/>
                <w:kern w:val="0"/>
                <w:sz w:val="21"/>
                <w:szCs w:val="21"/>
                <w:lang w:val="en-US" w:eastAsia="zh-CN" w:bidi="ar"/>
                <w14:ligatures w14:val="standardContextual"/>
              </w:rPr>
              <w:t>0分</w:t>
            </w:r>
          </w:p>
        </w:tc>
      </w:tr>
      <w:tr w14:paraId="529047CC">
        <w:trPr>
          <w:jc w:val="center"/>
        </w:trPr>
        <w:tc>
          <w:tcPr>
            <w:tcW w:w="8919" w:type="dxa"/>
            <w:gridSpan w:val="2"/>
            <w:shd w:val="clear" w:color="auto" w:fill="auto"/>
            <w:vAlign w:val="center"/>
          </w:tcPr>
          <w:p w14:paraId="15017BB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snapToGrid w:val="0"/>
                <w:color w:val="000000"/>
                <w:kern w:val="0"/>
                <w:sz w:val="21"/>
                <w:szCs w:val="21"/>
                <w:lang w:val="en-US" w:eastAsia="zh-CN" w:bidi="ar"/>
                <w14:ligatures w14:val="standardContextual"/>
              </w:rPr>
              <w:t>合计</w:t>
            </w:r>
          </w:p>
        </w:tc>
        <w:tc>
          <w:tcPr>
            <w:tcW w:w="866" w:type="dxa"/>
            <w:shd w:val="clear" w:color="auto" w:fill="auto"/>
            <w:vAlign w:val="center"/>
          </w:tcPr>
          <w:p w14:paraId="10E700A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exact"/>
              <w:jc w:val="center"/>
              <w:textAlignment w:val="baseline"/>
              <w:rPr>
                <w:rFonts w:hint="default" w:ascii="方正仿宋_GB2312" w:hAnsi="方正仿宋_GB2312" w:eastAsia="方正仿宋_GB2312" w:cs="方正仿宋_GB2312"/>
                <w:snapToGrid w:val="0"/>
                <w:color w:val="000000"/>
                <w:kern w:val="0"/>
                <w:sz w:val="21"/>
                <w:szCs w:val="21"/>
                <w:lang w:val="en-US" w:eastAsia="zh-CN" w:bidi="ar-SA"/>
                <w14:ligatures w14:val="standardContextual"/>
              </w:rPr>
            </w:pPr>
            <w:r>
              <w:rPr>
                <w:rFonts w:hint="eastAsia" w:ascii="方正仿宋_GB2312" w:hAnsi="方正仿宋_GB2312" w:eastAsia="方正仿宋_GB2312" w:cs="方正仿宋_GB2312"/>
                <w:b/>
                <w:snapToGrid w:val="0"/>
                <w:color w:val="000000"/>
                <w:kern w:val="0"/>
                <w:sz w:val="21"/>
                <w:szCs w:val="21"/>
                <w:lang w:val="en-US" w:eastAsia="zh-CN" w:bidi="ar"/>
                <w14:ligatures w14:val="standardContextual"/>
              </w:rPr>
              <w:t>100分</w:t>
            </w:r>
          </w:p>
        </w:tc>
      </w:tr>
    </w:tbl>
    <w:p w14:paraId="3F0F4F7E">
      <w:pPr>
        <w:widowControl/>
        <w:kinsoku/>
        <w:overflowPunct w:val="0"/>
        <w:autoSpaceDE w:val="0"/>
        <w:autoSpaceDN w:val="0"/>
        <w:adjustRightInd w:val="0"/>
        <w:snapToGrid w:val="0"/>
        <w:spacing w:line="540" w:lineRule="exact"/>
        <w:ind w:firstLine="570" w:firstLineChars="200"/>
        <w:jc w:val="both"/>
        <w:textAlignment w:val="baseline"/>
        <w:rPr>
          <w:rFonts w:hint="default" w:ascii="仿宋_GB2312" w:hAnsi="Times New Roman" w:eastAsia="仿宋_GB2312" w:cs="Times New Roman"/>
          <w:b/>
          <w:bCs/>
          <w:snapToGrid w:val="0"/>
          <w:color w:val="000000"/>
          <w:spacing w:val="2"/>
          <w:kern w:val="0"/>
          <w:sz w:val="28"/>
          <w:szCs w:val="28"/>
          <w:lang w:val="en-US" w:eastAsia="zh-CN"/>
          <w14:ligatures w14:val="standardContextual"/>
        </w:rPr>
      </w:pPr>
      <w:r>
        <w:rPr>
          <w:rFonts w:hint="default" w:ascii="仿宋_GB2312" w:hAnsi="Times New Roman" w:eastAsia="仿宋_GB2312" w:cs="Times New Roman"/>
          <w:b/>
          <w:bCs/>
          <w:snapToGrid w:val="0"/>
          <w:color w:val="000000"/>
          <w:spacing w:val="2"/>
          <w:kern w:val="0"/>
          <w:sz w:val="28"/>
          <w:szCs w:val="28"/>
          <w:lang w:val="en-US" w:eastAsia="zh-CN"/>
          <w14:ligatures w14:val="standardContextual"/>
        </w:rPr>
        <w:t>项目二“自选项目技能展示”</w:t>
      </w:r>
    </w:p>
    <w:p w14:paraId="348C01D3">
      <w:pPr>
        <w:widowControl/>
        <w:kinsoku/>
        <w:overflowPunct w:val="0"/>
        <w:autoSpaceDE w:val="0"/>
        <w:autoSpaceDN w:val="0"/>
        <w:adjustRightInd w:val="0"/>
        <w:snapToGrid w:val="0"/>
        <w:spacing w:line="540" w:lineRule="exact"/>
        <w:ind w:firstLine="568" w:firstLineChars="200"/>
        <w:jc w:val="both"/>
        <w:textAlignment w:val="baseline"/>
        <w:rPr>
          <w:rFonts w:ascii="宋体" w:hAnsi="宋体" w:eastAsia="宋体" w:cs="Arial"/>
          <w:b/>
          <w:bCs/>
          <w:snapToGrid w:val="0"/>
          <w:color w:val="000000"/>
          <w:kern w:val="0"/>
          <w:sz w:val="24"/>
          <w:szCs w:val="24"/>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项目二</w:t>
      </w:r>
      <w:r>
        <w:rPr>
          <w:rFonts w:ascii="仿宋_GB2312" w:hAnsi="Times New Roman" w:eastAsia="仿宋_GB2312" w:cs="Times New Roman"/>
          <w:snapToGrid w:val="0"/>
          <w:color w:val="000000"/>
          <w:spacing w:val="2"/>
          <w:kern w:val="0"/>
          <w:sz w:val="28"/>
          <w:szCs w:val="28"/>
          <w:lang w:eastAsia="zh-CN"/>
          <w14:ligatures w14:val="standardContextual"/>
        </w:rPr>
        <w:t>满分100分，分为技能水平（60%）、职业素养（10%）、应用价值（10%）、团队合作（10%）、创新创意（10%）五个方面，评分细则如表</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4</w:t>
      </w:r>
      <w:r>
        <w:rPr>
          <w:rFonts w:ascii="仿宋_GB2312" w:hAnsi="Times New Roman" w:eastAsia="仿宋_GB2312" w:cs="Times New Roman"/>
          <w:snapToGrid w:val="0"/>
          <w:color w:val="000000"/>
          <w:spacing w:val="2"/>
          <w:kern w:val="0"/>
          <w:sz w:val="28"/>
          <w:szCs w:val="28"/>
          <w:lang w:eastAsia="zh-CN"/>
          <w14:ligatures w14:val="standardContextual"/>
        </w:rPr>
        <w:t>所示</w:t>
      </w:r>
      <w:r>
        <w:rPr>
          <w:rFonts w:hint="eastAsia" w:ascii="仿宋_GB2312" w:hAnsi="Times New Roman" w:eastAsia="仿宋_GB2312" w:cs="Times New Roman"/>
          <w:snapToGrid w:val="0"/>
          <w:color w:val="000000"/>
          <w:spacing w:val="2"/>
          <w:kern w:val="0"/>
          <w:sz w:val="28"/>
          <w:szCs w:val="28"/>
          <w:lang w:eastAsia="zh-CN"/>
          <w14:ligatures w14:val="standardContextual"/>
        </w:rPr>
        <w:t>。</w:t>
      </w:r>
    </w:p>
    <w:p w14:paraId="34258F4B">
      <w:pPr>
        <w:kinsoku w:val="0"/>
        <w:autoSpaceDE w:val="0"/>
        <w:autoSpaceDN w:val="0"/>
        <w:adjustRightInd w:val="0"/>
        <w:snapToGrid w:val="0"/>
        <w:spacing w:line="540" w:lineRule="exact"/>
        <w:contextualSpacing/>
        <w:jc w:val="center"/>
        <w:textAlignment w:val="baseline"/>
        <w:rPr>
          <w:rFonts w:hint="default" w:ascii="Times New Roman" w:hAnsi="Times New Roman" w:eastAsia="宋体" w:cs="Times New Roman"/>
          <w:b/>
          <w:bCs/>
          <w:snapToGrid w:val="0"/>
          <w:color w:val="000000"/>
          <w:kern w:val="0"/>
          <w:sz w:val="24"/>
          <w:szCs w:val="24"/>
          <w:lang w:val="en-US" w:eastAsia="zh-CN" w:bidi="ar-SA"/>
          <w14:ligatures w14:val="standardContextual"/>
        </w:rPr>
      </w:pPr>
      <w:r>
        <w:rPr>
          <w:rFonts w:hint="default" w:ascii="Times New Roman" w:hAnsi="Times New Roman" w:eastAsia="宋体" w:cs="Times New Roman"/>
          <w:b/>
          <w:bCs/>
          <w:snapToGrid w:val="0"/>
          <w:color w:val="000000"/>
          <w:kern w:val="0"/>
          <w:sz w:val="24"/>
          <w:szCs w:val="24"/>
          <w:lang w:val="en-US" w:eastAsia="zh-CN" w:bidi="ar-SA"/>
          <w14:ligatures w14:val="standardContextual"/>
        </w:rPr>
        <w:t>表</w:t>
      </w:r>
      <w:r>
        <w:rPr>
          <w:rFonts w:hint="eastAsia" w:ascii="Times New Roman" w:hAnsi="Times New Roman" w:eastAsia="宋体" w:cs="Times New Roman"/>
          <w:b/>
          <w:bCs/>
          <w:snapToGrid w:val="0"/>
          <w:color w:val="000000"/>
          <w:kern w:val="0"/>
          <w:sz w:val="24"/>
          <w:szCs w:val="24"/>
          <w:lang w:val="en-US" w:eastAsia="zh-CN" w:bidi="ar-SA"/>
          <w14:ligatures w14:val="standardContextual"/>
        </w:rPr>
        <w:t>4</w:t>
      </w:r>
      <w:r>
        <w:rPr>
          <w:rFonts w:hint="default" w:ascii="Times New Roman" w:hAnsi="Times New Roman" w:eastAsia="宋体" w:cs="Times New Roman"/>
          <w:b/>
          <w:bCs/>
          <w:snapToGrid w:val="0"/>
          <w:color w:val="000000"/>
          <w:kern w:val="0"/>
          <w:sz w:val="24"/>
          <w:szCs w:val="24"/>
          <w:lang w:val="en-US" w:eastAsia="zh-CN" w:bidi="ar-SA"/>
          <w14:ligatures w14:val="standardContextual"/>
        </w:rPr>
        <w:t xml:space="preserve">  </w:t>
      </w:r>
      <w:r>
        <w:rPr>
          <w:rFonts w:hint="eastAsia" w:ascii="Times New Roman" w:hAnsi="Times New Roman" w:eastAsia="宋体" w:cs="Times New Roman"/>
          <w:b/>
          <w:bCs/>
          <w:snapToGrid w:val="0"/>
          <w:color w:val="000000"/>
          <w:kern w:val="0"/>
          <w:sz w:val="24"/>
          <w:szCs w:val="24"/>
          <w:lang w:val="en-US" w:eastAsia="zh-CN" w:bidi="ar-SA"/>
          <w14:ligatures w14:val="standardContextual"/>
        </w:rPr>
        <w:t xml:space="preserve">项目二 </w:t>
      </w:r>
      <w:r>
        <w:rPr>
          <w:rFonts w:hint="default" w:ascii="Times New Roman" w:hAnsi="Times New Roman" w:eastAsia="宋体" w:cs="Times New Roman"/>
          <w:b/>
          <w:bCs/>
          <w:snapToGrid w:val="0"/>
          <w:color w:val="000000"/>
          <w:kern w:val="0"/>
          <w:sz w:val="24"/>
          <w:szCs w:val="24"/>
          <w:lang w:val="en-US" w:eastAsia="zh-CN" w:bidi="ar-SA"/>
          <w14:ligatures w14:val="standardContextual"/>
        </w:rPr>
        <w:t>评分细则</w:t>
      </w:r>
    </w:p>
    <w:tbl>
      <w:tblPr>
        <w:tblStyle w:val="5"/>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4"/>
        <w:gridCol w:w="1618"/>
        <w:gridCol w:w="6339"/>
      </w:tblGrid>
      <w:tr w14:paraId="07846653">
        <w:trPr>
          <w:trHeight w:val="414" w:hRule="atLeast"/>
          <w:jc w:val="center"/>
        </w:trPr>
        <w:tc>
          <w:tcPr>
            <w:tcW w:w="1464" w:type="dxa"/>
            <w:vAlign w:val="center"/>
          </w:tcPr>
          <w:p w14:paraId="3E4B0AE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4"/>
                <w:kern w:val="0"/>
                <w:sz w:val="21"/>
                <w:szCs w:val="21"/>
                <w:lang w:val="en-US" w:eastAsia="en-US" w:bidi="ar-SA"/>
                <w14:ligatures w14:val="standardContextual"/>
              </w:rPr>
              <w:t>评分指标</w:t>
            </w:r>
          </w:p>
        </w:tc>
        <w:tc>
          <w:tcPr>
            <w:tcW w:w="1618" w:type="dxa"/>
            <w:vAlign w:val="center"/>
          </w:tcPr>
          <w:p w14:paraId="55E4521E">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观测点</w:t>
            </w:r>
          </w:p>
        </w:tc>
        <w:tc>
          <w:tcPr>
            <w:tcW w:w="6339" w:type="dxa"/>
            <w:vAlign w:val="center"/>
          </w:tcPr>
          <w:p w14:paraId="7843AA0B">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8"/>
                <w:kern w:val="0"/>
                <w:sz w:val="21"/>
                <w:szCs w:val="21"/>
                <w:lang w:val="en-US" w:eastAsia="en-US" w:bidi="ar-SA"/>
                <w14:ligatures w14:val="standardContextual"/>
              </w:rPr>
              <w:t>说明</w:t>
            </w:r>
          </w:p>
        </w:tc>
      </w:tr>
      <w:tr w14:paraId="219909F3">
        <w:trPr>
          <w:trHeight w:val="439" w:hRule="atLeast"/>
          <w:jc w:val="center"/>
        </w:trPr>
        <w:tc>
          <w:tcPr>
            <w:tcW w:w="1464" w:type="dxa"/>
            <w:vMerge w:val="restart"/>
            <w:tcBorders>
              <w:bottom w:val="nil"/>
            </w:tcBorders>
            <w:vAlign w:val="center"/>
          </w:tcPr>
          <w:p w14:paraId="464EC6E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60EE2B6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2182D0D2">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27F61C3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4"/>
                <w:kern w:val="0"/>
                <w:sz w:val="21"/>
                <w:szCs w:val="21"/>
                <w:lang w:val="en-US" w:eastAsia="en-US" w:bidi="ar-SA"/>
                <w14:ligatures w14:val="standardContextual"/>
              </w:rPr>
              <w:t>一、技能水平</w:t>
            </w:r>
          </w:p>
          <w:p w14:paraId="617F23D4">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11"/>
                <w:kern w:val="0"/>
                <w:sz w:val="21"/>
                <w:szCs w:val="21"/>
                <w:lang w:val="en-US" w:eastAsia="en-US" w:bidi="ar-SA"/>
                <w14:ligatures w14:val="standardContextual"/>
              </w:rPr>
              <w:t>（权重</w:t>
            </w:r>
            <w:r>
              <w:rPr>
                <w:rFonts w:hint="default" w:ascii="Times New Roman" w:hAnsi="Times New Roman" w:eastAsia="方正仿宋_GB2312" w:cs="Times New Roman"/>
                <w:snapToGrid w:val="0"/>
                <w:color w:val="000000"/>
                <w:spacing w:val="-11"/>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11"/>
                <w:kern w:val="0"/>
                <w:sz w:val="21"/>
                <w:szCs w:val="21"/>
                <w:lang w:val="en-US" w:eastAsia="en-US" w:bidi="ar-SA"/>
                <w14:ligatures w14:val="standardContextual"/>
              </w:rPr>
              <w:t>60%，</w:t>
            </w:r>
          </w:p>
          <w:p w14:paraId="2B96F310">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17"/>
                <w:kern w:val="0"/>
                <w:sz w:val="21"/>
                <w:szCs w:val="21"/>
                <w:lang w:val="en-US" w:eastAsia="en-US" w:bidi="ar-SA"/>
                <w14:ligatures w14:val="standardContextual"/>
              </w:rPr>
              <w:t>60</w:t>
            </w:r>
            <w:r>
              <w:rPr>
                <w:rFonts w:hint="default" w:ascii="Times New Roman" w:hAnsi="Times New Roman" w:eastAsia="方正仿宋_GB2312" w:cs="Times New Roman"/>
                <w:snapToGrid w:val="0"/>
                <w:color w:val="000000"/>
                <w:spacing w:val="-17"/>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17"/>
                <w:kern w:val="0"/>
                <w:sz w:val="21"/>
                <w:szCs w:val="21"/>
                <w:lang w:val="en-US" w:eastAsia="en-US" w:bidi="ar-SA"/>
                <w14:ligatures w14:val="standardContextual"/>
              </w:rPr>
              <w:t>分）</w:t>
            </w:r>
          </w:p>
        </w:tc>
        <w:tc>
          <w:tcPr>
            <w:tcW w:w="1618" w:type="dxa"/>
            <w:vAlign w:val="center"/>
          </w:tcPr>
          <w:p w14:paraId="1DD5007F">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操作规范性</w:t>
            </w:r>
          </w:p>
          <w:p w14:paraId="756E5D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 10 分）</w:t>
            </w:r>
          </w:p>
        </w:tc>
        <w:tc>
          <w:tcPr>
            <w:tcW w:w="6339" w:type="dxa"/>
            <w:vAlign w:val="center"/>
          </w:tcPr>
          <w:p w14:paraId="7E6CB077">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技能操作规范</w:t>
            </w:r>
            <w:r>
              <w:rPr>
                <w:rFonts w:hint="default" w:ascii="Times New Roman" w:hAnsi="Times New Roman" w:eastAsia="方正仿宋_GB2312" w:cs="Times New Roman"/>
                <w:snapToGrid w:val="0"/>
                <w:color w:val="000000"/>
                <w:spacing w:val="-2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，符合行业标准和岗位要求</w:t>
            </w:r>
          </w:p>
        </w:tc>
      </w:tr>
      <w:tr w14:paraId="68D12D07">
        <w:trPr>
          <w:trHeight w:val="664" w:hRule="atLeast"/>
          <w:jc w:val="center"/>
        </w:trPr>
        <w:tc>
          <w:tcPr>
            <w:tcW w:w="1464" w:type="dxa"/>
            <w:vMerge w:val="continue"/>
            <w:tcBorders>
              <w:top w:val="nil"/>
              <w:bottom w:val="nil"/>
            </w:tcBorders>
            <w:vAlign w:val="center"/>
          </w:tcPr>
          <w:p w14:paraId="01C3F7D2">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26425514">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技能熟练度</w:t>
            </w:r>
          </w:p>
          <w:p w14:paraId="5BAC6A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 15 分）</w:t>
            </w:r>
          </w:p>
        </w:tc>
        <w:tc>
          <w:tcPr>
            <w:tcW w:w="6339" w:type="dxa"/>
            <w:vAlign w:val="center"/>
          </w:tcPr>
          <w:p w14:paraId="716EE599">
            <w:pPr>
              <w:keepNext w:val="0"/>
              <w:keepLines w:val="0"/>
              <w:pageBreakBefore w:val="0"/>
              <w:widowControl/>
              <w:kinsoku w:val="0"/>
              <w:wordWrap/>
              <w:overflowPunct/>
              <w:topLinePunct w:val="0"/>
              <w:autoSpaceDE w:val="0"/>
              <w:autoSpaceDN w:val="0"/>
              <w:bidi w:val="0"/>
              <w:adjustRightInd w:val="0"/>
              <w:snapToGrid w:val="0"/>
              <w:spacing w:line="360" w:lineRule="exact"/>
              <w:ind w:left="0" w:right="156"/>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知识技术应用和软硬件等工具使用熟练</w:t>
            </w:r>
            <w:r>
              <w:rPr>
                <w:rFonts w:hint="default" w:ascii="Times New Roman" w:hAnsi="Times New Roman" w:eastAsia="方正仿宋_GB2312" w:cs="Times New Roman"/>
                <w:snapToGrid w:val="0"/>
                <w:color w:val="000000"/>
                <w:spacing w:val="-26"/>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，操作流畅</w:t>
            </w:r>
            <w:r>
              <w:rPr>
                <w:rFonts w:hint="default" w:ascii="Times New Roman" w:hAnsi="Times New Roman" w:eastAsia="方正仿宋_GB2312" w:cs="Times New Roman"/>
                <w:snapToGrid w:val="0"/>
                <w:color w:val="000000"/>
                <w:spacing w:val="-43"/>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，运用精准，</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任务进度控制和时间利用合理</w:t>
            </w:r>
          </w:p>
        </w:tc>
      </w:tr>
      <w:tr w14:paraId="667FACFF">
        <w:trPr>
          <w:trHeight w:val="664" w:hRule="atLeast"/>
          <w:jc w:val="center"/>
        </w:trPr>
        <w:tc>
          <w:tcPr>
            <w:tcW w:w="1464" w:type="dxa"/>
            <w:vMerge w:val="continue"/>
            <w:tcBorders>
              <w:top w:val="nil"/>
              <w:bottom w:val="nil"/>
            </w:tcBorders>
            <w:vAlign w:val="center"/>
          </w:tcPr>
          <w:p w14:paraId="4912E9F2">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3CE5CC43">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任务难易度</w:t>
            </w:r>
          </w:p>
          <w:p w14:paraId="14A125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 15 分）</w:t>
            </w:r>
          </w:p>
        </w:tc>
        <w:tc>
          <w:tcPr>
            <w:tcW w:w="6339" w:type="dxa"/>
            <w:vAlign w:val="center"/>
          </w:tcPr>
          <w:p w14:paraId="5B13F200">
            <w:pPr>
              <w:keepNext w:val="0"/>
              <w:keepLines w:val="0"/>
              <w:pageBreakBefore w:val="0"/>
              <w:widowControl/>
              <w:kinsoku w:val="0"/>
              <w:wordWrap/>
              <w:overflowPunct/>
              <w:topLinePunct w:val="0"/>
              <w:autoSpaceDE w:val="0"/>
              <w:autoSpaceDN w:val="0"/>
              <w:bidi w:val="0"/>
              <w:adjustRightInd w:val="0"/>
              <w:snapToGrid w:val="0"/>
              <w:spacing w:line="360" w:lineRule="exact"/>
              <w:ind w:left="0" w:right="103" w:firstLine="2"/>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工作任务完整</w:t>
            </w:r>
            <w:r>
              <w:rPr>
                <w:rFonts w:hint="default" w:ascii="Times New Roman" w:hAnsi="Times New Roman" w:eastAsia="方正仿宋_GB2312" w:cs="Times New Roman"/>
                <w:snapToGrid w:val="0"/>
                <w:color w:val="000000"/>
                <w:spacing w:val="-3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，突出关键技术，具有一定挑战性</w:t>
            </w:r>
            <w:r>
              <w:rPr>
                <w:rFonts w:hint="default" w:ascii="Times New Roman" w:hAnsi="Times New Roman" w:eastAsia="方正仿宋_GB2312" w:cs="Times New Roman"/>
                <w:snapToGrid w:val="0"/>
                <w:color w:val="000000"/>
                <w:spacing w:val="-44"/>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，需要较高技能</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操作水平和解决复杂问题的综合能力</w:t>
            </w:r>
          </w:p>
        </w:tc>
      </w:tr>
      <w:tr w14:paraId="354F2A39">
        <w:trPr>
          <w:trHeight w:val="664" w:hRule="atLeast"/>
          <w:jc w:val="center"/>
        </w:trPr>
        <w:tc>
          <w:tcPr>
            <w:tcW w:w="1464" w:type="dxa"/>
            <w:vMerge w:val="continue"/>
            <w:tcBorders>
              <w:top w:val="nil"/>
              <w:bottom w:val="nil"/>
            </w:tcBorders>
            <w:vAlign w:val="center"/>
          </w:tcPr>
          <w:p w14:paraId="1898431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5A937619">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技术先进性</w:t>
            </w:r>
          </w:p>
          <w:p w14:paraId="7D2288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 15 分）</w:t>
            </w:r>
          </w:p>
        </w:tc>
        <w:tc>
          <w:tcPr>
            <w:tcW w:w="6339" w:type="dxa"/>
            <w:vAlign w:val="center"/>
          </w:tcPr>
          <w:p w14:paraId="4FDD5534">
            <w:pPr>
              <w:keepNext w:val="0"/>
              <w:keepLines w:val="0"/>
              <w:pageBreakBefore w:val="0"/>
              <w:widowControl/>
              <w:kinsoku w:val="0"/>
              <w:wordWrap/>
              <w:overflowPunct/>
              <w:topLinePunct w:val="0"/>
              <w:autoSpaceDE w:val="0"/>
              <w:autoSpaceDN w:val="0"/>
              <w:bidi w:val="0"/>
              <w:adjustRightInd w:val="0"/>
              <w:snapToGrid w:val="0"/>
              <w:spacing w:line="360" w:lineRule="exact"/>
              <w:ind w:left="0" w:right="33" w:hanging="11"/>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体现所属行业新标准、新技术、新场景应用，积极</w:t>
            </w:r>
            <w:r>
              <w:rPr>
                <w:rFonts w:hint="default" w:ascii="Times New Roman" w:hAnsi="Times New Roman" w:eastAsia="方正仿宋_GB2312" w:cs="Times New Roman"/>
                <w:snapToGrid w:val="0"/>
                <w:color w:val="000000"/>
                <w:spacing w:val="-6"/>
                <w:kern w:val="0"/>
                <w:sz w:val="21"/>
                <w:szCs w:val="21"/>
                <w:lang w:val="en-US" w:eastAsia="en-US" w:bidi="ar-SA"/>
                <w14:ligatures w14:val="standardContextual"/>
              </w:rPr>
              <w:t>应用前沿技术、</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数字化技术</w:t>
            </w:r>
            <w:r>
              <w:rPr>
                <w:rFonts w:hint="default" w:ascii="Times New Roman" w:hAnsi="Times New Roman" w:eastAsia="方正仿宋_GB2312" w:cs="Times New Roman"/>
                <w:snapToGrid w:val="0"/>
                <w:color w:val="000000"/>
                <w:spacing w:val="-3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，技术选择恰当</w:t>
            </w:r>
          </w:p>
        </w:tc>
      </w:tr>
      <w:tr w14:paraId="063176D9">
        <w:trPr>
          <w:trHeight w:val="438" w:hRule="atLeast"/>
          <w:jc w:val="center"/>
        </w:trPr>
        <w:tc>
          <w:tcPr>
            <w:tcW w:w="1464" w:type="dxa"/>
            <w:vMerge w:val="continue"/>
            <w:tcBorders>
              <w:top w:val="nil"/>
            </w:tcBorders>
            <w:vAlign w:val="center"/>
          </w:tcPr>
          <w:p w14:paraId="08E49391">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43BF7EC7">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5.现场讲解效果（5 分）</w:t>
            </w:r>
          </w:p>
        </w:tc>
        <w:tc>
          <w:tcPr>
            <w:tcW w:w="6339" w:type="dxa"/>
            <w:vAlign w:val="center"/>
          </w:tcPr>
          <w:p w14:paraId="59AD7BD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讲解内容逻辑清晰</w:t>
            </w:r>
            <w:r>
              <w:rPr>
                <w:rFonts w:hint="default" w:ascii="Times New Roman" w:hAnsi="Times New Roman" w:eastAsia="方正仿宋_GB2312" w:cs="Times New Roman"/>
                <w:snapToGrid w:val="0"/>
                <w:color w:val="000000"/>
                <w:spacing w:val="-27"/>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，重点突出，表达准确</w:t>
            </w:r>
          </w:p>
        </w:tc>
      </w:tr>
      <w:tr w14:paraId="1C59231E">
        <w:trPr>
          <w:trHeight w:val="664" w:hRule="atLeast"/>
          <w:jc w:val="center"/>
        </w:trPr>
        <w:tc>
          <w:tcPr>
            <w:tcW w:w="1464" w:type="dxa"/>
            <w:vMerge w:val="restart"/>
            <w:tcBorders>
              <w:bottom w:val="nil"/>
            </w:tcBorders>
            <w:vAlign w:val="center"/>
          </w:tcPr>
          <w:p w14:paraId="5D723A5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19CA95BA">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4"/>
                <w:kern w:val="0"/>
                <w:sz w:val="21"/>
                <w:szCs w:val="21"/>
                <w:lang w:val="en-US" w:eastAsia="en-US" w:bidi="ar-SA"/>
                <w14:ligatures w14:val="standardContextual"/>
              </w:rPr>
              <w:t>二、职业素养</w:t>
            </w:r>
          </w:p>
          <w:p w14:paraId="3C012AC3">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（权重</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10%，</w:t>
            </w:r>
          </w:p>
          <w:p w14:paraId="59A5ABDE">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10</w:t>
            </w:r>
            <w:r>
              <w:rPr>
                <w:rFonts w:hint="default" w:ascii="Times New Roman" w:hAnsi="Times New Roman" w:eastAsia="方正仿宋_GB2312" w:cs="Times New Roman"/>
                <w:snapToGrid w:val="0"/>
                <w:color w:val="000000"/>
                <w:spacing w:val="-8"/>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分）</w:t>
            </w:r>
          </w:p>
        </w:tc>
        <w:tc>
          <w:tcPr>
            <w:tcW w:w="1618" w:type="dxa"/>
            <w:vAlign w:val="center"/>
          </w:tcPr>
          <w:p w14:paraId="32B4E29D">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exact"/>
              <w:ind w:left="0" w:right="236" w:firstLine="25"/>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职业道德与行为规范</w:t>
            </w:r>
          </w:p>
          <w:p w14:paraId="549BAB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25" w:leftChars="0" w:right="236" w:rightChars="0" w:firstLine="357" w:firstLineChars="150"/>
              <w:jc w:val="both"/>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4"/>
                <w:kern w:val="0"/>
                <w:sz w:val="21"/>
                <w:szCs w:val="21"/>
                <w:lang w:val="en-US" w:eastAsia="en-US" w:bidi="ar-SA"/>
                <w14:ligatures w14:val="standardContextual"/>
              </w:rPr>
              <w:t>（4分）</w:t>
            </w:r>
          </w:p>
        </w:tc>
        <w:tc>
          <w:tcPr>
            <w:tcW w:w="6339" w:type="dxa"/>
            <w:vAlign w:val="center"/>
          </w:tcPr>
          <w:p w14:paraId="77CC5FCA">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诚信守法</w:t>
            </w:r>
            <w:r>
              <w:rPr>
                <w:rFonts w:hint="default" w:ascii="Times New Roman" w:hAnsi="Times New Roman" w:eastAsia="方正仿宋_GB2312" w:cs="Times New Roman"/>
                <w:snapToGrid w:val="0"/>
                <w:color w:val="000000"/>
                <w:spacing w:val="-3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，尊重知识产权</w:t>
            </w:r>
            <w:r>
              <w:rPr>
                <w:rFonts w:hint="default" w:ascii="Times New Roman" w:hAnsi="Times New Roman" w:eastAsia="方正仿宋_GB2312" w:cs="Times New Roman"/>
                <w:snapToGrid w:val="0"/>
                <w:color w:val="000000"/>
                <w:spacing w:val="-43"/>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，遵守职业伦理，展现良好职业风貌</w:t>
            </w:r>
          </w:p>
        </w:tc>
      </w:tr>
      <w:tr w14:paraId="743210BA">
        <w:trPr>
          <w:trHeight w:val="438" w:hRule="atLeast"/>
          <w:jc w:val="center"/>
        </w:trPr>
        <w:tc>
          <w:tcPr>
            <w:tcW w:w="1464" w:type="dxa"/>
            <w:vMerge w:val="continue"/>
            <w:tcBorders>
              <w:top w:val="nil"/>
              <w:bottom w:val="nil"/>
            </w:tcBorders>
            <w:vAlign w:val="center"/>
          </w:tcPr>
          <w:p w14:paraId="0840E9B1">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45257641">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工匠精神</w:t>
            </w:r>
          </w:p>
          <w:p w14:paraId="2F2D2B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w:t>
            </w:r>
            <w:r>
              <w:rPr>
                <w:rFonts w:hint="default" w:ascii="Times New Roman" w:hAnsi="Times New Roman" w:eastAsia="方正仿宋_GB2312" w:cs="Times New Roman"/>
                <w:snapToGrid w:val="0"/>
                <w:color w:val="000000"/>
                <w:spacing w:val="-15"/>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3 分）</w:t>
            </w:r>
          </w:p>
        </w:tc>
        <w:tc>
          <w:tcPr>
            <w:tcW w:w="6339" w:type="dxa"/>
            <w:vAlign w:val="center"/>
          </w:tcPr>
          <w:p w14:paraId="007386B1">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注重细节</w:t>
            </w:r>
            <w:r>
              <w:rPr>
                <w:rFonts w:hint="default" w:ascii="Times New Roman" w:hAnsi="Times New Roman" w:eastAsia="方正仿宋_GB2312" w:cs="Times New Roman"/>
                <w:snapToGrid w:val="0"/>
                <w:color w:val="000000"/>
                <w:spacing w:val="-3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，精益求精</w:t>
            </w:r>
            <w:r>
              <w:rPr>
                <w:rFonts w:hint="default" w:ascii="Times New Roman" w:hAnsi="Times New Roman" w:eastAsia="方正仿宋_GB2312" w:cs="Times New Roman"/>
                <w:snapToGrid w:val="0"/>
                <w:color w:val="000000"/>
                <w:spacing w:val="-43"/>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，追求卓越，体现管理意识和质量意识</w:t>
            </w:r>
          </w:p>
        </w:tc>
      </w:tr>
      <w:tr w14:paraId="185C6D5D">
        <w:trPr>
          <w:trHeight w:val="438" w:hRule="atLeast"/>
          <w:jc w:val="center"/>
        </w:trPr>
        <w:tc>
          <w:tcPr>
            <w:tcW w:w="1464" w:type="dxa"/>
            <w:vMerge w:val="continue"/>
            <w:tcBorders>
              <w:top w:val="nil"/>
            </w:tcBorders>
            <w:vAlign w:val="center"/>
          </w:tcPr>
          <w:p w14:paraId="53E68B7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5856D592">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安全意识</w:t>
            </w:r>
          </w:p>
          <w:p w14:paraId="4F2B98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w:t>
            </w:r>
            <w:r>
              <w:rPr>
                <w:rFonts w:hint="default" w:ascii="Times New Roman" w:hAnsi="Times New Roman" w:eastAsia="方正仿宋_GB2312" w:cs="Times New Roman"/>
                <w:snapToGrid w:val="0"/>
                <w:color w:val="000000"/>
                <w:spacing w:val="-1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3 分）</w:t>
            </w:r>
          </w:p>
        </w:tc>
        <w:tc>
          <w:tcPr>
            <w:tcW w:w="6339" w:type="dxa"/>
            <w:vAlign w:val="center"/>
          </w:tcPr>
          <w:p w14:paraId="4CC2FAEE">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kern w:val="0"/>
                <w:sz w:val="21"/>
                <w:szCs w:val="21"/>
                <w:lang w:val="en-US" w:eastAsia="en-US" w:bidi="ar-SA"/>
                <w14:ligatures w14:val="standardContextual"/>
              </w:rPr>
              <w:t>严格遵守安全规范，具备劳动保护和风险防</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范意识</w:t>
            </w:r>
          </w:p>
        </w:tc>
      </w:tr>
      <w:tr w14:paraId="49F59391">
        <w:trPr>
          <w:trHeight w:val="1012" w:hRule="atLeast"/>
          <w:jc w:val="center"/>
        </w:trPr>
        <w:tc>
          <w:tcPr>
            <w:tcW w:w="1464" w:type="dxa"/>
            <w:vMerge w:val="restart"/>
            <w:tcBorders>
              <w:bottom w:val="nil"/>
            </w:tcBorders>
            <w:vAlign w:val="center"/>
          </w:tcPr>
          <w:p w14:paraId="6A092CB0">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051757FB">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3"/>
                <w:kern w:val="0"/>
                <w:sz w:val="21"/>
                <w:szCs w:val="21"/>
                <w:lang w:val="en-US" w:eastAsia="en-US" w:bidi="ar-SA"/>
                <w14:ligatures w14:val="standardContextual"/>
              </w:rPr>
              <w:t>三、应用价值</w:t>
            </w:r>
          </w:p>
          <w:p w14:paraId="50F0D324">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（权重</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10%，</w:t>
            </w:r>
          </w:p>
          <w:p w14:paraId="7FC5E00C">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10</w:t>
            </w:r>
            <w:r>
              <w:rPr>
                <w:rFonts w:hint="default" w:ascii="Times New Roman" w:hAnsi="Times New Roman" w:eastAsia="方正仿宋_GB2312" w:cs="Times New Roman"/>
                <w:snapToGrid w:val="0"/>
                <w:color w:val="000000"/>
                <w:spacing w:val="-8"/>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分）</w:t>
            </w:r>
          </w:p>
        </w:tc>
        <w:tc>
          <w:tcPr>
            <w:tcW w:w="1618" w:type="dxa"/>
            <w:vAlign w:val="center"/>
          </w:tcPr>
          <w:p w14:paraId="14E177BC">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实用性</w:t>
            </w:r>
          </w:p>
          <w:p w14:paraId="7C08B8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（4 分）</w:t>
            </w:r>
          </w:p>
        </w:tc>
        <w:tc>
          <w:tcPr>
            <w:tcW w:w="6339" w:type="dxa"/>
            <w:vAlign w:val="center"/>
          </w:tcPr>
          <w:p w14:paraId="19C5F374">
            <w:pPr>
              <w:keepNext w:val="0"/>
              <w:keepLines w:val="0"/>
              <w:pageBreakBefore w:val="0"/>
              <w:widowControl/>
              <w:kinsoku w:val="0"/>
              <w:wordWrap/>
              <w:overflowPunct/>
              <w:topLinePunct w:val="0"/>
              <w:autoSpaceDE w:val="0"/>
              <w:autoSpaceDN w:val="0"/>
              <w:bidi w:val="0"/>
              <w:adjustRightInd w:val="0"/>
              <w:snapToGrid w:val="0"/>
              <w:spacing w:line="360" w:lineRule="exact"/>
              <w:ind w:left="0" w:right="43"/>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6"/>
                <w:kern w:val="0"/>
                <w:sz w:val="21"/>
                <w:szCs w:val="21"/>
                <w:lang w:val="en-US" w:eastAsia="en-US" w:bidi="ar-SA"/>
                <w14:ligatures w14:val="standardContextual"/>
              </w:rPr>
              <w:t>解决方案可直接应用于实践，有效解决生产、生活中的实际问题，</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契合产业转型升级、</w:t>
            </w:r>
            <w:r>
              <w:rPr>
                <w:rFonts w:hint="default" w:ascii="Times New Roman" w:hAnsi="Times New Roman" w:eastAsia="方正仿宋_GB2312" w:cs="Times New Roman"/>
                <w:snapToGrid w:val="0"/>
                <w:color w:val="000000"/>
                <w:spacing w:val="-2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区域经济社会发展、</w:t>
            </w:r>
            <w:r>
              <w:rPr>
                <w:rFonts w:hint="default" w:ascii="Times New Roman" w:hAnsi="Times New Roman" w:eastAsia="方正仿宋_GB2312" w:cs="Times New Roman"/>
                <w:snapToGrid w:val="0"/>
                <w:color w:val="000000"/>
                <w:spacing w:val="-2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乡村振兴、促</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进高质量</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就业等国家战略需求</w:t>
            </w:r>
          </w:p>
        </w:tc>
      </w:tr>
      <w:tr w14:paraId="59F2634A">
        <w:trPr>
          <w:trHeight w:val="438" w:hRule="atLeast"/>
          <w:jc w:val="center"/>
        </w:trPr>
        <w:tc>
          <w:tcPr>
            <w:tcW w:w="1464" w:type="dxa"/>
            <w:vMerge w:val="continue"/>
            <w:tcBorders>
              <w:top w:val="nil"/>
              <w:bottom w:val="nil"/>
            </w:tcBorders>
            <w:vAlign w:val="center"/>
          </w:tcPr>
          <w:p w14:paraId="38DC3583">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1DE8B904">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经济性</w:t>
            </w:r>
          </w:p>
          <w:p w14:paraId="740016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w:t>
            </w:r>
            <w:r>
              <w:rPr>
                <w:rFonts w:hint="default" w:ascii="Times New Roman" w:hAnsi="Times New Roman" w:eastAsia="方正仿宋_GB2312" w:cs="Times New Roman"/>
                <w:snapToGrid w:val="0"/>
                <w:color w:val="000000"/>
                <w:spacing w:val="-14"/>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3 分）</w:t>
            </w:r>
          </w:p>
        </w:tc>
        <w:tc>
          <w:tcPr>
            <w:tcW w:w="6339" w:type="dxa"/>
            <w:vAlign w:val="center"/>
          </w:tcPr>
          <w:p w14:paraId="78473B2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资源利用合理</w:t>
            </w:r>
            <w:r>
              <w:rPr>
                <w:rFonts w:hint="default" w:ascii="Times New Roman" w:hAnsi="Times New Roman" w:eastAsia="方正仿宋_GB2312" w:cs="Times New Roman"/>
                <w:snapToGrid w:val="0"/>
                <w:color w:val="000000"/>
                <w:spacing w:val="-42"/>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，体现高效益、</w:t>
            </w:r>
            <w:r>
              <w:rPr>
                <w:rFonts w:hint="default" w:ascii="Times New Roman" w:hAnsi="Times New Roman" w:eastAsia="方正仿宋_GB2312" w:cs="Times New Roman"/>
                <w:snapToGrid w:val="0"/>
                <w:color w:val="000000"/>
                <w:spacing w:val="-42"/>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高质量</w:t>
            </w:r>
          </w:p>
        </w:tc>
      </w:tr>
      <w:tr w14:paraId="3A32B5FC">
        <w:trPr>
          <w:trHeight w:val="438" w:hRule="atLeast"/>
          <w:jc w:val="center"/>
        </w:trPr>
        <w:tc>
          <w:tcPr>
            <w:tcW w:w="1464" w:type="dxa"/>
            <w:vMerge w:val="continue"/>
            <w:tcBorders>
              <w:top w:val="nil"/>
            </w:tcBorders>
            <w:vAlign w:val="center"/>
          </w:tcPr>
          <w:p w14:paraId="25664625">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644A93D7">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可持续性</w:t>
            </w:r>
          </w:p>
          <w:p w14:paraId="04E30D1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w:t>
            </w:r>
            <w:r>
              <w:rPr>
                <w:rFonts w:hint="default" w:ascii="Times New Roman" w:hAnsi="Times New Roman" w:eastAsia="方正仿宋_GB2312" w:cs="Times New Roman"/>
                <w:snapToGrid w:val="0"/>
                <w:color w:val="000000"/>
                <w:spacing w:val="-1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3 分）</w:t>
            </w:r>
          </w:p>
        </w:tc>
        <w:tc>
          <w:tcPr>
            <w:tcW w:w="6339" w:type="dxa"/>
            <w:vAlign w:val="center"/>
          </w:tcPr>
          <w:p w14:paraId="668D2D55">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具有良好环保意识，绿色低碳</w:t>
            </w:r>
            <w:r>
              <w:rPr>
                <w:rFonts w:hint="default" w:ascii="Times New Roman" w:hAnsi="Times New Roman" w:eastAsia="方正仿宋_GB2312" w:cs="Times New Roman"/>
                <w:snapToGrid w:val="0"/>
                <w:color w:val="000000"/>
                <w:spacing w:val="-40"/>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，符合产业未来发展方向</w:t>
            </w:r>
          </w:p>
        </w:tc>
      </w:tr>
      <w:tr w14:paraId="7307D939">
        <w:trPr>
          <w:trHeight w:val="664" w:hRule="atLeast"/>
          <w:jc w:val="center"/>
        </w:trPr>
        <w:tc>
          <w:tcPr>
            <w:tcW w:w="1464" w:type="dxa"/>
            <w:vMerge w:val="restart"/>
            <w:tcBorders>
              <w:bottom w:val="nil"/>
            </w:tcBorders>
            <w:vAlign w:val="center"/>
          </w:tcPr>
          <w:p w14:paraId="3DDBD296">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12"/>
                <w:kern w:val="0"/>
                <w:sz w:val="21"/>
                <w:szCs w:val="21"/>
                <w:lang w:val="en-US" w:eastAsia="en-US" w:bidi="ar-SA"/>
                <w14:ligatures w14:val="standardContextual"/>
              </w:rPr>
              <w:t>四、</w:t>
            </w:r>
            <w:r>
              <w:rPr>
                <w:rFonts w:hint="default" w:ascii="Times New Roman" w:hAnsi="Times New Roman" w:eastAsia="方正仿宋_GB2312" w:cs="Times New Roman"/>
                <w:snapToGrid w:val="0"/>
                <w:color w:val="000000"/>
                <w:spacing w:val="-41"/>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12"/>
                <w:kern w:val="0"/>
                <w:sz w:val="21"/>
                <w:szCs w:val="21"/>
                <w:lang w:val="en-US" w:eastAsia="en-US" w:bidi="ar-SA"/>
                <w14:ligatures w14:val="standardContextual"/>
              </w:rPr>
              <w:t>团队合作</w:t>
            </w:r>
          </w:p>
          <w:p w14:paraId="75B825E5">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（权重</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10%，</w:t>
            </w:r>
          </w:p>
          <w:p w14:paraId="1D209F05">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10</w:t>
            </w:r>
            <w:r>
              <w:rPr>
                <w:rFonts w:hint="default" w:ascii="Times New Roman" w:hAnsi="Times New Roman" w:eastAsia="方正仿宋_GB2312" w:cs="Times New Roman"/>
                <w:snapToGrid w:val="0"/>
                <w:color w:val="000000"/>
                <w:spacing w:val="-8"/>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分）</w:t>
            </w:r>
          </w:p>
        </w:tc>
        <w:tc>
          <w:tcPr>
            <w:tcW w:w="1618" w:type="dxa"/>
            <w:vAlign w:val="center"/>
          </w:tcPr>
          <w:p w14:paraId="11B29B1B">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团队精神</w:t>
            </w:r>
          </w:p>
          <w:p w14:paraId="6E5EBAA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（5 分）</w:t>
            </w:r>
          </w:p>
        </w:tc>
        <w:tc>
          <w:tcPr>
            <w:tcW w:w="6339" w:type="dxa"/>
            <w:vAlign w:val="center"/>
          </w:tcPr>
          <w:p w14:paraId="2B33FCDA">
            <w:pPr>
              <w:keepNext w:val="0"/>
              <w:keepLines w:val="0"/>
              <w:pageBreakBefore w:val="0"/>
              <w:widowControl/>
              <w:kinsoku w:val="0"/>
              <w:wordWrap/>
              <w:overflowPunct/>
              <w:topLinePunct w:val="0"/>
              <w:autoSpaceDE w:val="0"/>
              <w:autoSpaceDN w:val="0"/>
              <w:bidi w:val="0"/>
              <w:adjustRightInd w:val="0"/>
              <w:snapToGrid w:val="0"/>
              <w:spacing w:line="360" w:lineRule="exact"/>
              <w:ind w:left="0" w:right="105" w:firstLine="13"/>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团队成员能够准确理解共同目标和任务，清楚自己的角</w:t>
            </w: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色定位和职责，</w:t>
            </w:r>
            <w:r>
              <w:rPr>
                <w:rFonts w:hint="default" w:ascii="Times New Roman" w:hAnsi="Times New Roman" w:eastAsia="方正仿宋_GB2312" w:cs="Times New Roman"/>
                <w:snapToGrid w:val="0"/>
                <w:color w:val="000000"/>
                <w:spacing w:val="-37"/>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团队成员相互尊重、信任和支持，拥有良好的团队氛围</w:t>
            </w:r>
          </w:p>
        </w:tc>
      </w:tr>
      <w:tr w14:paraId="784AAE05">
        <w:trPr>
          <w:trHeight w:val="664" w:hRule="atLeast"/>
          <w:jc w:val="center"/>
        </w:trPr>
        <w:tc>
          <w:tcPr>
            <w:tcW w:w="1464" w:type="dxa"/>
            <w:vMerge w:val="continue"/>
            <w:tcBorders>
              <w:top w:val="nil"/>
            </w:tcBorders>
            <w:vAlign w:val="center"/>
          </w:tcPr>
          <w:p w14:paraId="6C21349C">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13BE5E7F">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沟通协作</w:t>
            </w:r>
          </w:p>
          <w:p w14:paraId="45A35F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（5 分）</w:t>
            </w:r>
          </w:p>
        </w:tc>
        <w:tc>
          <w:tcPr>
            <w:tcW w:w="6339" w:type="dxa"/>
            <w:vAlign w:val="center"/>
          </w:tcPr>
          <w:p w14:paraId="67697091">
            <w:pPr>
              <w:keepNext w:val="0"/>
              <w:keepLines w:val="0"/>
              <w:pageBreakBefore w:val="0"/>
              <w:widowControl/>
              <w:kinsoku w:val="0"/>
              <w:wordWrap/>
              <w:overflowPunct/>
              <w:topLinePunct w:val="0"/>
              <w:autoSpaceDE w:val="0"/>
              <w:autoSpaceDN w:val="0"/>
              <w:bidi w:val="0"/>
              <w:adjustRightInd w:val="0"/>
              <w:snapToGrid w:val="0"/>
              <w:spacing w:line="360" w:lineRule="exact"/>
              <w:ind w:left="0" w:right="105"/>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团队成员在比赛中能够有效沟通、</w:t>
            </w:r>
            <w:r>
              <w:rPr>
                <w:rFonts w:hint="default" w:ascii="Times New Roman" w:hAnsi="Times New Roman" w:eastAsia="方正仿宋_GB2312" w:cs="Times New Roman"/>
                <w:snapToGrid w:val="0"/>
                <w:color w:val="000000"/>
                <w:spacing w:val="-18"/>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紧密协作</w:t>
            </w:r>
            <w:r>
              <w:rPr>
                <w:rFonts w:hint="default" w:ascii="Times New Roman" w:hAnsi="Times New Roman" w:eastAsia="方正仿宋_GB2312" w:cs="Times New Roman"/>
                <w:snapToGrid w:val="0"/>
                <w:color w:val="000000"/>
                <w:spacing w:val="-43"/>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w:t>
            </w:r>
            <w:r>
              <w:rPr>
                <w:rFonts w:hint="default" w:ascii="Times New Roman" w:hAnsi="Times New Roman" w:eastAsia="方正仿宋_GB2312" w:cs="Times New Roman"/>
                <w:snapToGrid w:val="0"/>
                <w:color w:val="000000"/>
                <w:spacing w:val="-5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能够相互补台，共同应对突发情况</w:t>
            </w:r>
          </w:p>
        </w:tc>
      </w:tr>
      <w:tr w14:paraId="451810F3">
        <w:trPr>
          <w:trHeight w:val="438" w:hRule="atLeast"/>
          <w:jc w:val="center"/>
        </w:trPr>
        <w:tc>
          <w:tcPr>
            <w:tcW w:w="1464" w:type="dxa"/>
            <w:vMerge w:val="restart"/>
            <w:tcBorders>
              <w:bottom w:val="nil"/>
            </w:tcBorders>
            <w:vAlign w:val="center"/>
          </w:tcPr>
          <w:p w14:paraId="179F8399">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4"/>
                <w:kern w:val="0"/>
                <w:sz w:val="21"/>
                <w:szCs w:val="21"/>
                <w:lang w:val="en-US" w:eastAsia="en-US" w:bidi="ar-SA"/>
                <w14:ligatures w14:val="standardContextual"/>
              </w:rPr>
              <w:t>五、创新创意</w:t>
            </w:r>
          </w:p>
          <w:p w14:paraId="482A023E">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（权重</w:t>
            </w:r>
            <w:r>
              <w:rPr>
                <w:rFonts w:hint="default" w:ascii="Times New Roman" w:hAnsi="Times New Roman" w:eastAsia="方正仿宋_GB2312" w:cs="Times New Roman"/>
                <w:snapToGrid w:val="0"/>
                <w:color w:val="000000"/>
                <w:spacing w:val="-5"/>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5"/>
                <w:kern w:val="0"/>
                <w:sz w:val="21"/>
                <w:szCs w:val="21"/>
                <w:lang w:val="en-US" w:eastAsia="en-US" w:bidi="ar-SA"/>
                <w14:ligatures w14:val="standardContextual"/>
              </w:rPr>
              <w:t>10%，</w:t>
            </w:r>
          </w:p>
          <w:p w14:paraId="56669264">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10</w:t>
            </w:r>
            <w:r>
              <w:rPr>
                <w:rFonts w:hint="default" w:ascii="Times New Roman" w:hAnsi="Times New Roman" w:eastAsia="方正仿宋_GB2312" w:cs="Times New Roman"/>
                <w:snapToGrid w:val="0"/>
                <w:color w:val="000000"/>
                <w:spacing w:val="-8"/>
                <w:kern w:val="0"/>
                <w:sz w:val="21"/>
                <w:szCs w:val="21"/>
                <w:lang w:val="en-US" w:eastAsia="en-US" w:bidi="ar-SA"/>
                <w14:ligatures w14:val="standardContextual"/>
              </w:rPr>
              <w:t xml:space="preserve"> </w:t>
            </w:r>
            <w:r>
              <w:rPr>
                <w:rFonts w:hint="default" w:ascii="Times New Roman" w:hAnsi="Times New Roman" w:eastAsia="方正仿宋_GB2312" w:cs="Times New Roman"/>
                <w:b/>
                <w:bCs/>
                <w:snapToGrid w:val="0"/>
                <w:color w:val="000000"/>
                <w:spacing w:val="-9"/>
                <w:kern w:val="0"/>
                <w:sz w:val="21"/>
                <w:szCs w:val="21"/>
                <w:lang w:val="en-US" w:eastAsia="en-US" w:bidi="ar-SA"/>
                <w14:ligatures w14:val="standardContextual"/>
              </w:rPr>
              <w:t>分）</w:t>
            </w:r>
          </w:p>
        </w:tc>
        <w:tc>
          <w:tcPr>
            <w:tcW w:w="1618" w:type="dxa"/>
            <w:vAlign w:val="center"/>
          </w:tcPr>
          <w:p w14:paraId="3C1ECB80">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创新意识</w:t>
            </w:r>
          </w:p>
          <w:p w14:paraId="5AB9CC3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2"/>
                <w:kern w:val="0"/>
                <w:sz w:val="21"/>
                <w:szCs w:val="21"/>
                <w:lang w:val="en-US" w:eastAsia="en-US" w:bidi="ar-SA"/>
                <w14:ligatures w14:val="standardContextual"/>
              </w:rPr>
              <w:t>（4 分）</w:t>
            </w:r>
          </w:p>
        </w:tc>
        <w:tc>
          <w:tcPr>
            <w:tcW w:w="6339" w:type="dxa"/>
            <w:vAlign w:val="center"/>
          </w:tcPr>
          <w:p w14:paraId="6710BD8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kern w:val="0"/>
                <w:sz w:val="21"/>
                <w:szCs w:val="21"/>
                <w:lang w:val="en-US" w:eastAsia="en-US" w:bidi="ar-SA"/>
                <w14:ligatures w14:val="standardContextual"/>
              </w:rPr>
              <w:t>体现原始创意、创新和团队成员创新精神、创</w:t>
            </w:r>
            <w:r>
              <w:rPr>
                <w:rFonts w:hint="default" w:ascii="Times New Roman" w:hAnsi="Times New Roman" w:eastAsia="方正仿宋_GB2312" w:cs="Times New Roman"/>
                <w:snapToGrid w:val="0"/>
                <w:color w:val="000000"/>
                <w:spacing w:val="-1"/>
                <w:kern w:val="0"/>
                <w:sz w:val="21"/>
                <w:szCs w:val="21"/>
                <w:lang w:val="en-US" w:eastAsia="en-US" w:bidi="ar-SA"/>
                <w14:ligatures w14:val="standardContextual"/>
              </w:rPr>
              <w:t>新能力</w:t>
            </w:r>
          </w:p>
        </w:tc>
      </w:tr>
      <w:tr w14:paraId="7FE37447">
        <w:trPr>
          <w:trHeight w:val="1045" w:hRule="atLeast"/>
          <w:jc w:val="center"/>
        </w:trPr>
        <w:tc>
          <w:tcPr>
            <w:tcW w:w="1464" w:type="dxa"/>
            <w:vMerge w:val="continue"/>
            <w:tcBorders>
              <w:top w:val="nil"/>
            </w:tcBorders>
            <w:vAlign w:val="center"/>
          </w:tcPr>
          <w:p w14:paraId="3E19E35F">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tc>
        <w:tc>
          <w:tcPr>
            <w:tcW w:w="1618" w:type="dxa"/>
            <w:vAlign w:val="center"/>
          </w:tcPr>
          <w:p w14:paraId="145B96CD">
            <w:pPr>
              <w:keepNext w:val="0"/>
              <w:keepLines w:val="0"/>
              <w:pageBreakBefore w:val="0"/>
              <w:widowControl/>
              <w:kinsoku w:val="0"/>
              <w:wordWrap/>
              <w:overflowPunct/>
              <w:topLinePunct w:val="0"/>
              <w:autoSpaceDE w:val="0"/>
              <w:autoSpaceDN w:val="0"/>
              <w:bidi w:val="0"/>
              <w:adjustRightInd w:val="0"/>
              <w:snapToGrid w:val="0"/>
              <w:spacing w:line="360" w:lineRule="exact"/>
              <w:ind w:left="0"/>
              <w:jc w:val="center"/>
              <w:textAlignment w:val="baseline"/>
              <w:rPr>
                <w:rFonts w:hint="default" w:ascii="Times New Roman" w:hAnsi="Times New Roman" w:eastAsia="方正仿宋_GB2312" w:cs="Times New Roman"/>
                <w:snapToGrid w:val="0"/>
                <w:color w:val="000000"/>
                <w:kern w:val="0"/>
                <w:sz w:val="21"/>
                <w:szCs w:val="21"/>
                <w:lang w:eastAsia="en-US"/>
                <w14:ligatures w14:val="standardContextual"/>
              </w:rPr>
            </w:pPr>
          </w:p>
          <w:p w14:paraId="6DFDF967">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60" w:lineRule="exact"/>
              <w:ind w:left="0" w:leftChars="0" w:firstLine="0" w:firstLineChars="0"/>
              <w:jc w:val="center"/>
              <w:textAlignment w:val="baseline"/>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创新成效</w:t>
            </w:r>
          </w:p>
          <w:p w14:paraId="44AC1A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exact"/>
              <w:ind w:left="0" w:leftChars="0"/>
              <w:jc w:val="center"/>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（6 分）</w:t>
            </w:r>
          </w:p>
        </w:tc>
        <w:tc>
          <w:tcPr>
            <w:tcW w:w="6339" w:type="dxa"/>
            <w:vAlign w:val="center"/>
          </w:tcPr>
          <w:p w14:paraId="1E24A212">
            <w:pPr>
              <w:keepNext w:val="0"/>
              <w:keepLines w:val="0"/>
              <w:pageBreakBefore w:val="0"/>
              <w:widowControl/>
              <w:kinsoku w:val="0"/>
              <w:wordWrap/>
              <w:overflowPunct/>
              <w:topLinePunct w:val="0"/>
              <w:autoSpaceDE w:val="0"/>
              <w:autoSpaceDN w:val="0"/>
              <w:bidi w:val="0"/>
              <w:adjustRightInd w:val="0"/>
              <w:snapToGrid w:val="0"/>
              <w:spacing w:line="360" w:lineRule="exact"/>
              <w:ind w:left="0" w:right="105" w:hanging="3"/>
              <w:jc w:val="left"/>
              <w:textAlignment w:val="baseline"/>
              <w:rPr>
                <w:rFonts w:hint="default" w:ascii="Times New Roman" w:hAnsi="Times New Roman" w:eastAsia="方正仿宋_GB2312" w:cs="Times New Roman"/>
                <w:snapToGrid w:val="0"/>
                <w:color w:val="000000"/>
                <w:kern w:val="0"/>
                <w:sz w:val="21"/>
                <w:szCs w:val="21"/>
                <w:lang w:val="en-US" w:eastAsia="en-US" w:bidi="ar-SA"/>
                <w14:ligatures w14:val="standardContextual"/>
              </w:rPr>
            </w:pP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在要素整合、</w:t>
            </w:r>
            <w:r>
              <w:rPr>
                <w:rFonts w:hint="default" w:ascii="Times New Roman" w:hAnsi="Times New Roman" w:eastAsia="方正仿宋_GB2312" w:cs="Times New Roman"/>
                <w:snapToGrid w:val="0"/>
                <w:color w:val="000000"/>
                <w:spacing w:val="-48"/>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新技术应用、</w:t>
            </w:r>
            <w:r>
              <w:rPr>
                <w:rFonts w:hint="default" w:ascii="Times New Roman" w:hAnsi="Times New Roman" w:eastAsia="方正仿宋_GB2312" w:cs="Times New Roman"/>
                <w:snapToGrid w:val="0"/>
                <w:color w:val="000000"/>
                <w:spacing w:val="-46"/>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工艺流程改进、</w:t>
            </w:r>
            <w:r>
              <w:rPr>
                <w:rFonts w:hint="default" w:ascii="Times New Roman" w:hAnsi="Times New Roman" w:eastAsia="方正仿宋_GB2312" w:cs="Times New Roman"/>
                <w:snapToGrid w:val="0"/>
                <w:color w:val="000000"/>
                <w:spacing w:val="-49"/>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服务模式</w:t>
            </w:r>
            <w:r>
              <w:rPr>
                <w:rFonts w:hint="default" w:ascii="Times New Roman" w:hAnsi="Times New Roman" w:eastAsia="方正仿宋_GB2312" w:cs="Times New Roman"/>
                <w:snapToGrid w:val="0"/>
                <w:color w:val="000000"/>
                <w:spacing w:val="-4"/>
                <w:kern w:val="0"/>
                <w:sz w:val="21"/>
                <w:szCs w:val="21"/>
                <w:lang w:val="en-US" w:eastAsia="en-US" w:bidi="ar-SA"/>
                <w14:ligatures w14:val="standardContextual"/>
              </w:rPr>
              <w:t>优化等方面</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具有原创性，侧重加工工艺创新、</w:t>
            </w:r>
            <w:r>
              <w:rPr>
                <w:rFonts w:hint="default" w:ascii="Times New Roman" w:hAnsi="Times New Roman" w:eastAsia="方正仿宋_GB2312" w:cs="Times New Roman"/>
                <w:snapToGrid w:val="0"/>
                <w:color w:val="000000"/>
                <w:spacing w:val="-27"/>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实用技术创新、</w:t>
            </w:r>
            <w:r>
              <w:rPr>
                <w:rFonts w:hint="default" w:ascii="Times New Roman" w:hAnsi="Times New Roman" w:eastAsia="方正仿宋_GB2312" w:cs="Times New Roman"/>
                <w:snapToGrid w:val="0"/>
                <w:color w:val="000000"/>
                <w:spacing w:val="-5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3"/>
                <w:kern w:val="0"/>
                <w:sz w:val="21"/>
                <w:szCs w:val="21"/>
                <w:lang w:val="en-US" w:eastAsia="en-US" w:bidi="ar-SA"/>
                <w14:ligatures w14:val="standardContextual"/>
              </w:rPr>
              <w:t>产品（技术）</w:t>
            </w:r>
            <w:r>
              <w:rPr>
                <w:rFonts w:hint="default" w:ascii="Times New Roman" w:hAnsi="Times New Roman" w:eastAsia="方正仿宋_GB2312" w:cs="Times New Roman"/>
                <w:snapToGrid w:val="0"/>
                <w:color w:val="000000"/>
                <w:spacing w:val="-6"/>
                <w:kern w:val="0"/>
                <w:sz w:val="21"/>
                <w:szCs w:val="21"/>
                <w:lang w:val="en-US" w:eastAsia="en-US" w:bidi="ar-SA"/>
                <w14:ligatures w14:val="standardContextual"/>
              </w:rPr>
              <w:t>数字化改良、</w:t>
            </w:r>
            <w:r>
              <w:rPr>
                <w:rFonts w:hint="default" w:ascii="Times New Roman" w:hAnsi="Times New Roman" w:eastAsia="方正仿宋_GB2312" w:cs="Times New Roman"/>
                <w:snapToGrid w:val="0"/>
                <w:color w:val="000000"/>
                <w:spacing w:val="-32"/>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6"/>
                <w:kern w:val="0"/>
                <w:sz w:val="21"/>
                <w:szCs w:val="21"/>
                <w:lang w:val="en-US" w:eastAsia="en-US" w:bidi="ar-SA"/>
                <w14:ligatures w14:val="standardContextual"/>
              </w:rPr>
              <w:t>应用性优化、</w:t>
            </w:r>
            <w:r>
              <w:rPr>
                <w:rFonts w:hint="default" w:ascii="Times New Roman" w:hAnsi="Times New Roman" w:eastAsia="方正仿宋_GB2312" w:cs="Times New Roman"/>
                <w:snapToGrid w:val="0"/>
                <w:color w:val="000000"/>
                <w:spacing w:val="-21"/>
                <w:kern w:val="0"/>
                <w:sz w:val="21"/>
                <w:szCs w:val="21"/>
                <w:lang w:val="en-US" w:eastAsia="en-US" w:bidi="ar-SA"/>
                <w14:ligatures w14:val="standardContextual"/>
              </w:rPr>
              <w:t xml:space="preserve"> </w:t>
            </w:r>
            <w:r>
              <w:rPr>
                <w:rFonts w:hint="default" w:ascii="Times New Roman" w:hAnsi="Times New Roman" w:eastAsia="方正仿宋_GB2312" w:cs="Times New Roman"/>
                <w:snapToGrid w:val="0"/>
                <w:color w:val="000000"/>
                <w:spacing w:val="-6"/>
                <w:kern w:val="0"/>
                <w:sz w:val="21"/>
                <w:szCs w:val="21"/>
                <w:lang w:val="en-US" w:eastAsia="en-US" w:bidi="ar-SA"/>
                <w14:ligatures w14:val="standardContextual"/>
              </w:rPr>
              <w:t>民生类创意等</w:t>
            </w:r>
          </w:p>
        </w:tc>
      </w:tr>
    </w:tbl>
    <w:p w14:paraId="095EFAC5">
      <w:pPr>
        <w:keepNext w:val="0"/>
        <w:keepLines w:val="0"/>
        <w:pageBreakBefore w:val="0"/>
        <w:widowControl/>
        <w:kinsoku w:val="0"/>
        <w:wordWrap/>
        <w:overflowPunct/>
        <w:topLinePunct w:val="0"/>
        <w:autoSpaceDE w:val="0"/>
        <w:autoSpaceDN w:val="0"/>
        <w:bidi w:val="0"/>
        <w:adjustRightInd w:val="0"/>
        <w:snapToGrid w:val="0"/>
        <w:spacing w:before="100" w:line="320" w:lineRule="exact"/>
        <w:ind w:left="0" w:right="0" w:firstLine="428" w:firstLineChars="200"/>
        <w:jc w:val="both"/>
        <w:textAlignment w:val="baseline"/>
        <w:rPr>
          <w:rFonts w:hint="default" w:ascii="Times New Roman" w:hAnsi="Times New Roman" w:eastAsia="楷体_GB2312" w:cs="Times New Roman"/>
          <w:b/>
          <w:bCs/>
          <w:snapToGrid w:val="0"/>
          <w:color w:val="000000"/>
          <w:spacing w:val="-5"/>
          <w:kern w:val="0"/>
          <w:sz w:val="21"/>
          <w:szCs w:val="21"/>
          <w:lang w:val="en-US" w:eastAsia="zh-CN" w:bidi="ar-SA"/>
          <w14:ligatures w14:val="standardContextual"/>
        </w:rPr>
      </w:pPr>
      <w:r>
        <w:rPr>
          <w:rFonts w:hint="default" w:ascii="Times New Roman" w:hAnsi="Times New Roman" w:eastAsia="仿宋_GB2312" w:cs="Times New Roman"/>
          <w:snapToGrid w:val="0"/>
          <w:color w:val="000000"/>
          <w:spacing w:val="2"/>
          <w:kern w:val="0"/>
          <w:sz w:val="21"/>
          <w:szCs w:val="21"/>
          <w:lang w:val="en-US" w:eastAsia="zh-CN" w:bidi="ar-SA"/>
          <w14:ligatures w14:val="standardContextual"/>
        </w:rPr>
        <w:t>说明： 1.评分原则为 “突出能力导向、 解决实际问题、体现创新因素、 确保公平可比”； 2.评分要素充分体现综合育人功能 ，突出教育教学改革创新 ，共 5 项评分指标 ，总分 100 分； 3.每项评分指标包括若干评分观测点 ，每个观测点有明确的分值； 4.评委依据观测点及说明，根据参赛团队的技能操作和现场讲解情况进行评分，避免主观印象影响。</w:t>
      </w:r>
    </w:p>
    <w:p w14:paraId="2DC7ABCD">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r>
        <w:rPr>
          <w:rFonts w:hint="eastAsia" w:ascii="楷体_GB2312" w:hAnsi="Times New Roman" w:eastAsia="楷体_GB2312" w:cs="Times New Roman"/>
          <w:b/>
          <w:bCs/>
          <w:snapToGrid w:val="0"/>
          <w:color w:val="000000"/>
          <w:spacing w:val="-5"/>
          <w:kern w:val="0"/>
          <w:sz w:val="28"/>
          <w:szCs w:val="28"/>
          <w:lang w:eastAsia="zh-CN"/>
          <w14:ligatures w14:val="standardContextual"/>
        </w:rPr>
        <w:t>（二）</w:t>
      </w:r>
      <w:r>
        <w:rPr>
          <w:rFonts w:ascii="楷体_GB2312" w:hAnsi="Times New Roman" w:eastAsia="楷体_GB2312" w:cs="Times New Roman"/>
          <w:b/>
          <w:bCs/>
          <w:snapToGrid w:val="0"/>
          <w:color w:val="000000"/>
          <w:spacing w:val="-5"/>
          <w:kern w:val="0"/>
          <w:sz w:val="28"/>
          <w:szCs w:val="28"/>
          <w:lang w:eastAsia="zh-CN"/>
          <w14:ligatures w14:val="standardContextual"/>
        </w:rPr>
        <w:t>评分方式</w:t>
      </w:r>
    </w:p>
    <w:p w14:paraId="2F18CB7F">
      <w:pPr>
        <w:widowControl/>
        <w:kinsoku/>
        <w:overflowPunct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eastAsia="zh-CN"/>
          <w14:ligatures w14:val="standardContextual"/>
        </w:rPr>
        <w:t>本赛项实行百分制评分。项目一“幼儿游戏观察与分析”和项目二“自选项目技能展示”满分均为100分，分别占赛项总成绩的20%和80%。</w:t>
      </w:r>
    </w:p>
    <w:p w14:paraId="486A4024">
      <w:pPr>
        <w:widowControl/>
        <w:kinsoku/>
        <w:overflowPunct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eastAsia="zh-CN"/>
          <w14:ligatures w14:val="standardContextual"/>
        </w:rPr>
        <w:t>评分裁判依据各项目的评分标准分别进行独立评分。各项目所有评分裁判的评分求和后取算术平均值，作为该项目的最终得分。两个项目的得分按照相应权重折算后相加，得出参赛队伍的总成绩。</w:t>
      </w:r>
    </w:p>
    <w:p w14:paraId="4BF3C770">
      <w:pPr>
        <w:widowControl/>
        <w:kinsoku/>
        <w:overflowPunct w:val="0"/>
        <w:autoSpaceDE w:val="0"/>
        <w:autoSpaceDN w:val="0"/>
        <w:adjustRightInd w:val="0"/>
        <w:snapToGrid w:val="0"/>
        <w:spacing w:line="540" w:lineRule="exact"/>
        <w:ind w:firstLine="568" w:firstLineChars="200"/>
        <w:jc w:val="both"/>
        <w:textAlignment w:val="baseline"/>
        <w:rPr>
          <w:rFonts w:hint="default"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eastAsia="zh-CN"/>
          <w14:ligatures w14:val="standardContextual"/>
        </w:rPr>
        <w:t>总成绩＝项目一得分×20%＋项目二得分×80%。</w:t>
      </w:r>
    </w:p>
    <w:p w14:paraId="438E5E57">
      <w:pPr>
        <w:widowControl/>
        <w:kinsoku w:val="0"/>
        <w:autoSpaceDE w:val="0"/>
        <w:autoSpaceDN w:val="0"/>
        <w:adjustRightInd w:val="0"/>
        <w:snapToGrid w:val="0"/>
        <w:spacing w:line="540" w:lineRule="exact"/>
        <w:ind w:left="565"/>
        <w:contextualSpacing/>
        <w:jc w:val="left"/>
        <w:textAlignment w:val="baseline"/>
        <w:outlineLvl w:val="2"/>
        <w:rPr>
          <w:rFonts w:hint="eastAsia" w:ascii="楷体_GB2312" w:hAnsi="Times New Roman" w:eastAsia="楷体_GB2312" w:cs="Times New Roman"/>
          <w:b/>
          <w:bCs/>
          <w:snapToGrid w:val="0"/>
          <w:color w:val="000000"/>
          <w:spacing w:val="-5"/>
          <w:kern w:val="0"/>
          <w:sz w:val="28"/>
          <w:szCs w:val="28"/>
          <w:lang w:eastAsia="zh-CN"/>
          <w14:ligatures w14:val="standardContextual"/>
        </w:rPr>
      </w:pPr>
      <w:bookmarkStart w:id="18" w:name="bookmark39"/>
      <w:bookmarkEnd w:id="18"/>
      <w:bookmarkStart w:id="19" w:name="bookmark40"/>
      <w:bookmarkEnd w:id="19"/>
      <w:r>
        <w:rPr>
          <w:rFonts w:hint="eastAsia" w:ascii="楷体_GB2312" w:hAnsi="Times New Roman" w:eastAsia="楷体_GB2312" w:cs="Times New Roman"/>
          <w:b/>
          <w:bCs/>
          <w:snapToGrid w:val="0"/>
          <w:color w:val="000000"/>
          <w:spacing w:val="-5"/>
          <w:kern w:val="0"/>
          <w:sz w:val="28"/>
          <w:szCs w:val="28"/>
          <w:lang w:eastAsia="zh-CN"/>
          <w14:ligatures w14:val="standardContextual"/>
        </w:rPr>
        <w:t>（三）成绩复核、解密与公布</w:t>
      </w:r>
    </w:p>
    <w:p w14:paraId="16EF5C60">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70" w:firstLineChars="200"/>
        <w:contextualSpacing/>
        <w:jc w:val="left"/>
        <w:textAlignment w:val="baseline"/>
        <w:outlineLvl w:val="9"/>
        <w:rPr>
          <w:rFonts w:ascii="仿宋_GB2312" w:hAnsi="Times New Roman" w:eastAsia="仿宋_GB2312" w:cs="Times New Roman"/>
          <w:b/>
          <w:bCs/>
          <w:snapToGrid w:val="0"/>
          <w:color w:val="000000"/>
          <w:spacing w:val="2"/>
          <w:kern w:val="0"/>
          <w:sz w:val="28"/>
          <w:szCs w:val="28"/>
          <w:lang w:val="en-US" w:eastAsia="zh-CN" w:bidi="ar-SA"/>
          <w14:ligatures w14:val="standardContextual"/>
        </w:rPr>
      </w:pPr>
      <w:r>
        <w:rPr>
          <w:rFonts w:ascii="仿宋_GB2312" w:hAnsi="Times New Roman" w:eastAsia="仿宋_GB2312" w:cs="Times New Roman"/>
          <w:b/>
          <w:bCs/>
          <w:snapToGrid w:val="0"/>
          <w:color w:val="000000"/>
          <w:spacing w:val="2"/>
          <w:kern w:val="0"/>
          <w:sz w:val="28"/>
          <w:szCs w:val="28"/>
          <w:lang w:val="en-US" w:eastAsia="zh-CN" w:bidi="ar-SA"/>
          <w14:ligatures w14:val="standardContextual"/>
        </w:rPr>
        <w:t>1.成绩全面复核</w:t>
      </w:r>
    </w:p>
    <w:p w14:paraId="051B86CF">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68" w:firstLineChars="200"/>
        <w:contextualSpacing/>
        <w:jc w:val="left"/>
        <w:textAlignment w:val="baseline"/>
        <w:outlineLvl w:val="9"/>
        <w:rPr>
          <w:rFonts w:ascii="仿宋_GB2312" w:hAnsi="Times New Roman" w:eastAsia="仿宋_GB2312" w:cs="Times New Roman"/>
          <w:snapToGrid w:val="0"/>
          <w:color w:val="000000"/>
          <w:spacing w:val="2"/>
          <w:kern w:val="0"/>
          <w:sz w:val="28"/>
          <w:szCs w:val="28"/>
          <w:lang w:val="en-US" w:eastAsia="zh-CN" w:bidi="ar-SA"/>
          <w14:ligatures w14:val="standardContextual"/>
        </w:rPr>
      </w:pPr>
      <w:r>
        <w:rPr>
          <w:rFonts w:ascii="仿宋_GB2312" w:hAnsi="Times New Roman" w:eastAsia="仿宋_GB2312" w:cs="Times New Roman"/>
          <w:snapToGrid w:val="0"/>
          <w:color w:val="000000"/>
          <w:spacing w:val="2"/>
          <w:kern w:val="0"/>
          <w:sz w:val="28"/>
          <w:szCs w:val="28"/>
          <w:lang w:val="en-US" w:eastAsia="zh-CN" w:bidi="ar-SA"/>
          <w14:ligatures w14:val="standardContextual"/>
        </w:rPr>
        <w:t>裁判组对各参赛队伍的评分及统分结果进行全面复核，确保成绩汇总、计算准确无误。</w:t>
      </w:r>
    </w:p>
    <w:p w14:paraId="441D3570">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70" w:firstLineChars="200"/>
        <w:contextualSpacing/>
        <w:jc w:val="left"/>
        <w:textAlignment w:val="baseline"/>
        <w:outlineLvl w:val="9"/>
        <w:rPr>
          <w:rFonts w:ascii="仿宋_GB2312" w:hAnsi="Times New Roman" w:eastAsia="仿宋_GB2312" w:cs="Times New Roman"/>
          <w:b/>
          <w:bCs/>
          <w:snapToGrid w:val="0"/>
          <w:color w:val="000000"/>
          <w:spacing w:val="2"/>
          <w:kern w:val="0"/>
          <w:sz w:val="28"/>
          <w:szCs w:val="28"/>
          <w:lang w:val="en-US" w:eastAsia="zh-CN" w:bidi="ar-SA"/>
          <w14:ligatures w14:val="standardContextual"/>
        </w:rPr>
      </w:pPr>
      <w:r>
        <w:rPr>
          <w:rFonts w:ascii="仿宋_GB2312" w:hAnsi="Times New Roman" w:eastAsia="仿宋_GB2312" w:cs="Times New Roman"/>
          <w:b/>
          <w:bCs/>
          <w:snapToGrid w:val="0"/>
          <w:color w:val="000000"/>
          <w:spacing w:val="2"/>
          <w:kern w:val="0"/>
          <w:sz w:val="28"/>
          <w:szCs w:val="28"/>
          <w:lang w:val="en-US" w:eastAsia="zh-CN" w:bidi="ar-SA"/>
          <w14:ligatures w14:val="standardContextual"/>
        </w:rPr>
        <w:t>2.解密</w:t>
      </w:r>
    </w:p>
    <w:p w14:paraId="419749C0">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68" w:firstLineChars="200"/>
        <w:contextualSpacing/>
        <w:jc w:val="left"/>
        <w:textAlignment w:val="baseline"/>
        <w:outlineLvl w:val="9"/>
        <w:rPr>
          <w:rFonts w:ascii="仿宋_GB2312" w:hAnsi="Times New Roman" w:eastAsia="仿宋_GB2312" w:cs="Times New Roman"/>
          <w:snapToGrid w:val="0"/>
          <w:color w:val="000000"/>
          <w:spacing w:val="2"/>
          <w:kern w:val="0"/>
          <w:sz w:val="28"/>
          <w:szCs w:val="28"/>
          <w:lang w:val="en-US" w:eastAsia="zh-CN" w:bidi="ar-SA"/>
          <w14:ligatures w14:val="standardContextual"/>
        </w:rPr>
      </w:pPr>
      <w:r>
        <w:rPr>
          <w:rFonts w:ascii="仿宋_GB2312" w:hAnsi="Times New Roman" w:eastAsia="仿宋_GB2312" w:cs="Times New Roman"/>
          <w:snapToGrid w:val="0"/>
          <w:color w:val="000000"/>
          <w:spacing w:val="2"/>
          <w:kern w:val="0"/>
          <w:sz w:val="28"/>
          <w:szCs w:val="28"/>
          <w:lang w:val="en-US" w:eastAsia="zh-CN" w:bidi="ar-SA"/>
          <w14:ligatures w14:val="standardContextual"/>
        </w:rPr>
        <w:t>裁判长正式提交赛位评分结果并复核无误后，加密裁判在监督人员监督下对加密结果进行逐层解密。</w:t>
      </w:r>
    </w:p>
    <w:p w14:paraId="65B2A834">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70" w:firstLineChars="200"/>
        <w:contextualSpacing/>
        <w:jc w:val="left"/>
        <w:textAlignment w:val="baseline"/>
        <w:outlineLvl w:val="9"/>
        <w:rPr>
          <w:rFonts w:ascii="仿宋_GB2312" w:hAnsi="Times New Roman" w:eastAsia="仿宋_GB2312" w:cs="Times New Roman"/>
          <w:b/>
          <w:bCs/>
          <w:snapToGrid w:val="0"/>
          <w:color w:val="000000"/>
          <w:spacing w:val="2"/>
          <w:kern w:val="0"/>
          <w:sz w:val="28"/>
          <w:szCs w:val="28"/>
          <w:lang w:val="en-US" w:eastAsia="zh-CN" w:bidi="ar-SA"/>
          <w14:ligatures w14:val="standardContextual"/>
        </w:rPr>
      </w:pPr>
      <w:r>
        <w:rPr>
          <w:rFonts w:ascii="仿宋_GB2312" w:hAnsi="Times New Roman" w:eastAsia="仿宋_GB2312" w:cs="Times New Roman"/>
          <w:b/>
          <w:bCs/>
          <w:snapToGrid w:val="0"/>
          <w:color w:val="000000"/>
          <w:spacing w:val="2"/>
          <w:kern w:val="0"/>
          <w:sz w:val="28"/>
          <w:szCs w:val="28"/>
          <w:lang w:val="en-US" w:eastAsia="zh-CN" w:bidi="ar-SA"/>
          <w14:ligatures w14:val="standardContextual"/>
        </w:rPr>
        <w:t>3.成绩复核与抽检</w:t>
      </w:r>
    </w:p>
    <w:p w14:paraId="486BE9FD">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68" w:firstLineChars="200"/>
        <w:contextualSpacing/>
        <w:jc w:val="left"/>
        <w:textAlignment w:val="baseline"/>
        <w:outlineLvl w:val="9"/>
        <w:rPr>
          <w:rFonts w:ascii="仿宋_GB2312" w:hAnsi="Times New Roman" w:eastAsia="仿宋_GB2312" w:cs="Times New Roman"/>
          <w:snapToGrid w:val="0"/>
          <w:color w:val="000000"/>
          <w:spacing w:val="2"/>
          <w:kern w:val="0"/>
          <w:sz w:val="28"/>
          <w:szCs w:val="28"/>
          <w:lang w:val="en-US" w:eastAsia="zh-CN" w:bidi="ar-SA"/>
          <w14:ligatures w14:val="standardContextual"/>
        </w:rPr>
      </w:pPr>
      <w:r>
        <w:rPr>
          <w:rFonts w:ascii="仿宋_GB2312" w:hAnsi="Times New Roman" w:eastAsia="仿宋_GB2312" w:cs="Times New Roman"/>
          <w:snapToGrid w:val="0"/>
          <w:color w:val="000000"/>
          <w:spacing w:val="2"/>
          <w:kern w:val="0"/>
          <w:sz w:val="28"/>
          <w:szCs w:val="28"/>
          <w:lang w:val="en-US" w:eastAsia="zh-CN" w:bidi="ar-SA"/>
          <w14:ligatures w14:val="standardContextual"/>
        </w:rPr>
        <w:t>解密后，纪律监督员按照大赛有关规定对评定成绩进行复核与抽检。对复核和抽检中发现的问题，按规定程序进行核实和处理，必要时扩大复核范围，确保成绩评定的准确性和公正性。</w:t>
      </w:r>
    </w:p>
    <w:p w14:paraId="3311E766">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70" w:firstLineChars="200"/>
        <w:contextualSpacing/>
        <w:jc w:val="left"/>
        <w:textAlignment w:val="baseline"/>
        <w:outlineLvl w:val="9"/>
        <w:rPr>
          <w:rFonts w:ascii="仿宋_GB2312" w:hAnsi="Times New Roman" w:eastAsia="仿宋_GB2312" w:cs="Times New Roman"/>
          <w:b/>
          <w:bCs/>
          <w:snapToGrid w:val="0"/>
          <w:color w:val="000000"/>
          <w:spacing w:val="2"/>
          <w:kern w:val="0"/>
          <w:sz w:val="28"/>
          <w:szCs w:val="28"/>
          <w:lang w:val="en-US" w:eastAsia="zh-CN" w:bidi="ar-SA"/>
          <w14:ligatures w14:val="standardContextual"/>
        </w:rPr>
      </w:pPr>
      <w:r>
        <w:rPr>
          <w:rFonts w:ascii="仿宋_GB2312" w:hAnsi="Times New Roman" w:eastAsia="仿宋_GB2312" w:cs="Times New Roman"/>
          <w:b/>
          <w:bCs/>
          <w:snapToGrid w:val="0"/>
          <w:color w:val="000000"/>
          <w:spacing w:val="2"/>
          <w:kern w:val="0"/>
          <w:sz w:val="28"/>
          <w:szCs w:val="28"/>
          <w:lang w:val="en-US" w:eastAsia="zh-CN" w:bidi="ar-SA"/>
          <w14:ligatures w14:val="standardContextual"/>
        </w:rPr>
        <w:t>4.公示</w:t>
      </w:r>
    </w:p>
    <w:p w14:paraId="61D458E9">
      <w:pPr>
        <w:keepNext w:val="0"/>
        <w:keepLines w:val="0"/>
        <w:pageBreakBefore w:val="0"/>
        <w:widowControl/>
        <w:kinsoku w:val="0"/>
        <w:wordWrap/>
        <w:overflowPunct/>
        <w:topLinePunct w:val="0"/>
        <w:autoSpaceDE w:val="0"/>
        <w:autoSpaceDN w:val="0"/>
        <w:bidi w:val="0"/>
        <w:adjustRightInd w:val="0"/>
        <w:snapToGrid w:val="0"/>
        <w:spacing w:line="540" w:lineRule="exact"/>
        <w:ind w:left="0" w:firstLine="568" w:firstLineChars="200"/>
        <w:contextualSpacing/>
        <w:jc w:val="left"/>
        <w:textAlignment w:val="baseline"/>
        <w:outlineLvl w:val="9"/>
        <w:rPr>
          <w:rFonts w:ascii="仿宋_GB2312" w:hAnsi="Times New Roman" w:eastAsia="仿宋_GB2312" w:cs="Times New Roman"/>
          <w:snapToGrid w:val="0"/>
          <w:color w:val="000000"/>
          <w:spacing w:val="2"/>
          <w:kern w:val="0"/>
          <w:sz w:val="28"/>
          <w:szCs w:val="28"/>
          <w:lang w:val="en-US" w:eastAsia="zh-CN" w:bidi="ar-SA"/>
          <w14:ligatures w14:val="standardContextual"/>
        </w:rPr>
      </w:pPr>
      <w:r>
        <w:rPr>
          <w:rFonts w:ascii="仿宋_GB2312" w:hAnsi="Times New Roman" w:eastAsia="仿宋_GB2312" w:cs="Times New Roman"/>
          <w:snapToGrid w:val="0"/>
          <w:color w:val="000000"/>
          <w:spacing w:val="2"/>
          <w:kern w:val="0"/>
          <w:sz w:val="28"/>
          <w:szCs w:val="28"/>
          <w:lang w:val="en-US" w:eastAsia="zh-CN" w:bidi="ar-SA"/>
          <w14:ligatures w14:val="standardContextual"/>
        </w:rPr>
        <w:t>将解密并经复核确认的各参赛队成绩汇总成最终成绩单，经裁判员及监督仲裁组签字确认后进行公示，公示时间为2小时。公示成绩单张贴在海南科技职业大学（具体地点另行通知）。成绩公示无异议后，按规定程序报审。大赛最终成绩经大赛执委会公示无异议后，由大赛组委会公布。</w:t>
      </w:r>
    </w:p>
    <w:p w14:paraId="4716EF0C">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20" w:name="bookmark42"/>
      <w:bookmarkEnd w:id="20"/>
      <w:bookmarkStart w:id="21" w:name="bookmark41"/>
      <w:bookmarkEnd w:id="21"/>
      <w:r>
        <w:rPr>
          <w:rFonts w:hint="eastAsia" w:ascii="楷体_GB2312" w:hAnsi="Times New Roman" w:eastAsia="楷体_GB2312" w:cs="Times New Roman"/>
          <w:b/>
          <w:bCs/>
          <w:snapToGrid w:val="0"/>
          <w:color w:val="000000"/>
          <w:spacing w:val="-5"/>
          <w:kern w:val="0"/>
          <w:sz w:val="28"/>
          <w:szCs w:val="28"/>
          <w:lang w:eastAsia="zh-CN"/>
          <w14:ligatures w14:val="standardContextual"/>
        </w:rPr>
        <w:t>（四）</w:t>
      </w:r>
      <w:r>
        <w:rPr>
          <w:rFonts w:ascii="楷体_GB2312" w:hAnsi="Times New Roman" w:eastAsia="楷体_GB2312" w:cs="Times New Roman"/>
          <w:b/>
          <w:bCs/>
          <w:snapToGrid w:val="0"/>
          <w:color w:val="000000"/>
          <w:spacing w:val="-5"/>
          <w:kern w:val="0"/>
          <w:sz w:val="28"/>
          <w:szCs w:val="28"/>
          <w:lang w:eastAsia="zh-CN"/>
          <w14:ligatures w14:val="standardContextual"/>
        </w:rPr>
        <w:t>申诉与仲裁</w:t>
      </w:r>
    </w:p>
    <w:p w14:paraId="6EEE06CE">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参赛队伍认为存在不符合大赛规定、有失公正的评判及工作人员违规行为等情况时，须由该参赛队伍领队在该参赛队比赛结束后2小时内，向仲裁工作组实名提交书面申诉材料。成绩公示后，对成绩有异议的，由该参赛队伍领队在成绩公示期间，向仲裁工作组提交书面申诉材料。超过申诉时效不予受理。申诉报告应对申诉事件的基本情况、发生时间、涉及人员、申诉依据等进行充分、实事求是地叙述，应对申诉诉求清晰、明确地表达。</w:t>
      </w:r>
      <w:bookmarkStart w:id="22" w:name="bookmark46"/>
      <w:bookmarkEnd w:id="22"/>
      <w:bookmarkStart w:id="23" w:name="bookmark43"/>
      <w:bookmarkEnd w:id="23"/>
      <w:bookmarkStart w:id="24" w:name="bookmark48"/>
      <w:bookmarkEnd w:id="24"/>
      <w:bookmarkStart w:id="25" w:name="bookmark47"/>
      <w:bookmarkEnd w:id="25"/>
      <w:bookmarkStart w:id="26" w:name="bookmark45"/>
      <w:bookmarkEnd w:id="26"/>
    </w:p>
    <w:p w14:paraId="4CCEA7E9">
      <w:pPr>
        <w:widowControl/>
        <w:kinsoku w:val="0"/>
        <w:autoSpaceDE w:val="0"/>
        <w:autoSpaceDN w:val="0"/>
        <w:adjustRightInd w:val="0"/>
        <w:snapToGrid w:val="0"/>
        <w:spacing w:line="540" w:lineRule="exact"/>
        <w:ind w:left="504"/>
        <w:contextualSpacing/>
        <w:jc w:val="left"/>
        <w:textAlignment w:val="baseline"/>
        <w:outlineLvl w:val="1"/>
        <w:rPr>
          <w:rFonts w:hint="eastAsia" w:ascii="黑体" w:hAnsi="黑体" w:eastAsia="黑体" w:cs="黑体"/>
          <w:snapToGrid w:val="0"/>
          <w:color w:val="000000"/>
          <w:spacing w:val="6"/>
          <w:kern w:val="0"/>
          <w:sz w:val="28"/>
          <w:szCs w:val="28"/>
          <w:lang w:eastAsia="zh-CN"/>
          <w14:ligatures w14:val="standardContextual"/>
        </w:rPr>
      </w:pPr>
      <w:bookmarkStart w:id="27" w:name="bookmark50"/>
      <w:bookmarkEnd w:id="27"/>
      <w:bookmarkStart w:id="28" w:name="bookmark49"/>
      <w:bookmarkEnd w:id="28"/>
      <w:bookmarkStart w:id="29" w:name="bookmark52"/>
      <w:bookmarkEnd w:id="29"/>
      <w:r>
        <w:rPr>
          <w:rFonts w:hint="eastAsia" w:ascii="黑体" w:hAnsi="黑体" w:eastAsia="黑体" w:cs="黑体"/>
          <w:snapToGrid w:val="0"/>
          <w:color w:val="000000"/>
          <w:spacing w:val="6"/>
          <w:kern w:val="0"/>
          <w:sz w:val="28"/>
          <w:szCs w:val="28"/>
          <w:lang w:eastAsia="zh-CN"/>
          <w14:ligatures w14:val="standardContextual"/>
        </w:rPr>
        <w:t>八</w:t>
      </w:r>
      <w:r>
        <w:rPr>
          <w:rFonts w:ascii="黑体" w:hAnsi="黑体" w:eastAsia="黑体" w:cs="黑体"/>
          <w:snapToGrid w:val="0"/>
          <w:color w:val="000000"/>
          <w:spacing w:val="6"/>
          <w:kern w:val="0"/>
          <w:sz w:val="28"/>
          <w:szCs w:val="28"/>
          <w:lang w:eastAsia="zh-CN"/>
          <w14:ligatures w14:val="standardContextual"/>
        </w:rPr>
        <w:t>、人员须知</w:t>
      </w:r>
    </w:p>
    <w:p w14:paraId="49EDA3EC">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30" w:name="bookmark51"/>
      <w:bookmarkEnd w:id="30"/>
      <w:r>
        <w:rPr>
          <w:rFonts w:ascii="楷体_GB2312" w:hAnsi="Times New Roman" w:eastAsia="楷体_GB2312" w:cs="Times New Roman"/>
          <w:b/>
          <w:bCs/>
          <w:snapToGrid w:val="0"/>
          <w:color w:val="000000"/>
          <w:spacing w:val="-5"/>
          <w:kern w:val="0"/>
          <w:sz w:val="28"/>
          <w:szCs w:val="28"/>
          <w:lang w:eastAsia="zh-CN"/>
          <w14:ligatures w14:val="standardContextual"/>
        </w:rPr>
        <w:t>（一）参赛队须知</w:t>
      </w:r>
    </w:p>
    <w:p w14:paraId="3827780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1.</w:t>
      </w:r>
      <w:r>
        <w:rPr>
          <w:rFonts w:ascii="仿宋_GB2312" w:hAnsi="Times New Roman" w:eastAsia="仿宋_GB2312" w:cs="Times New Roman"/>
          <w:snapToGrid w:val="0"/>
          <w:color w:val="000000"/>
          <w:spacing w:val="2"/>
          <w:kern w:val="0"/>
          <w:sz w:val="28"/>
          <w:szCs w:val="28"/>
          <w:lang w:eastAsia="zh-CN"/>
          <w14:ligatures w14:val="standardContextual"/>
        </w:rPr>
        <w:t>参赛队员应自觉遵守赛场纪律，服从裁判、听从指挥、文明竞赛；持证进入赛场，禁止将通讯工具和物料清单以外的物品带入赛场。</w:t>
      </w:r>
    </w:p>
    <w:p w14:paraId="03288938">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2.</w:t>
      </w:r>
      <w:r>
        <w:rPr>
          <w:rFonts w:ascii="仿宋_GB2312" w:hAnsi="Times New Roman" w:eastAsia="仿宋_GB2312" w:cs="Times New Roman"/>
          <w:snapToGrid w:val="0"/>
          <w:color w:val="000000"/>
          <w:spacing w:val="2"/>
          <w:kern w:val="0"/>
          <w:sz w:val="28"/>
          <w:szCs w:val="28"/>
          <w:lang w:eastAsia="zh-CN"/>
          <w14:ligatures w14:val="standardContextual"/>
        </w:rPr>
        <w:t>组委会统一安排各参赛队在比赛前一天进入赛场熟悉环境情况。</w:t>
      </w:r>
    </w:p>
    <w:p w14:paraId="3DD09C92">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3.</w:t>
      </w:r>
      <w:r>
        <w:rPr>
          <w:rFonts w:ascii="仿宋_GB2312" w:hAnsi="Times New Roman" w:eastAsia="仿宋_GB2312" w:cs="Times New Roman"/>
          <w:snapToGrid w:val="0"/>
          <w:color w:val="000000"/>
          <w:spacing w:val="2"/>
          <w:kern w:val="0"/>
          <w:sz w:val="28"/>
          <w:szCs w:val="28"/>
          <w:lang w:eastAsia="zh-CN"/>
          <w14:ligatures w14:val="standardContextual"/>
        </w:rPr>
        <w:t>参赛队不允许携带与参赛设备无关的电子产品及通讯工具（物料清单中电子产品视为与竞赛有关），以及其他与竞赛有关的资料和书籍（物料清单中已确认的物品除外），不得以任何方式泄露参赛学校、选手姓名等涉及竞赛场上应该保密的信息。</w:t>
      </w:r>
    </w:p>
    <w:p w14:paraId="70B6DD47">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4.</w:t>
      </w:r>
      <w:r>
        <w:rPr>
          <w:rFonts w:ascii="仿宋_GB2312" w:hAnsi="Times New Roman" w:eastAsia="仿宋_GB2312" w:cs="Times New Roman"/>
          <w:snapToGrid w:val="0"/>
          <w:color w:val="000000"/>
          <w:spacing w:val="2"/>
          <w:kern w:val="0"/>
          <w:sz w:val="28"/>
          <w:szCs w:val="28"/>
          <w:lang w:eastAsia="zh-CN"/>
          <w14:ligatures w14:val="standardContextual"/>
        </w:rPr>
        <w:t>比赛过程中，参赛选手须严格遵守操作规程和相关准则，保证设备及人身安全，并接受裁判员的监督和警示；若因设备故障导致选手中断或终止比赛，由裁判长视具体情况做出裁决。</w:t>
      </w:r>
    </w:p>
    <w:p w14:paraId="54CBD182">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5.</w:t>
      </w:r>
      <w:r>
        <w:rPr>
          <w:rFonts w:ascii="仿宋_GB2312" w:hAnsi="Times New Roman" w:eastAsia="仿宋_GB2312" w:cs="Times New Roman"/>
          <w:snapToGrid w:val="0"/>
          <w:color w:val="000000"/>
          <w:spacing w:val="2"/>
          <w:kern w:val="0"/>
          <w:sz w:val="28"/>
          <w:szCs w:val="28"/>
          <w:lang w:eastAsia="zh-CN"/>
          <w14:ligatures w14:val="standardContextual"/>
        </w:rPr>
        <w:t>在比赛过程中，须遵守比赛项目相关的安全操作流程，防止发生安全事故，参赛选手由于操作失误导致设备不能正常工作，或造成安全事故不能进行比赛的，将被终止比赛</w:t>
      </w:r>
      <w:r>
        <w:rPr>
          <w:rFonts w:hint="eastAsia" w:ascii="仿宋_GB2312" w:hAnsi="Times New Roman" w:eastAsia="仿宋_GB2312" w:cs="Times New Roman"/>
          <w:snapToGrid w:val="0"/>
          <w:color w:val="000000"/>
          <w:spacing w:val="2"/>
          <w:kern w:val="0"/>
          <w:sz w:val="28"/>
          <w:szCs w:val="28"/>
          <w:lang w:eastAsia="zh-CN"/>
          <w14:ligatures w14:val="standardContextual"/>
        </w:rPr>
        <w:t>。</w:t>
      </w:r>
    </w:p>
    <w:p w14:paraId="1133C9C9">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6</w:t>
      </w:r>
      <w:r>
        <w:rPr>
          <w:rFonts w:ascii="仿宋_GB2312" w:hAnsi="Times New Roman" w:eastAsia="仿宋_GB2312" w:cs="Times New Roman"/>
          <w:snapToGrid w:val="0"/>
          <w:color w:val="000000"/>
          <w:spacing w:val="2"/>
          <w:kern w:val="0"/>
          <w:sz w:val="28"/>
          <w:szCs w:val="28"/>
          <w:lang w:eastAsia="zh-CN"/>
          <w14:ligatures w14:val="standardContextual"/>
        </w:rPr>
        <w:t>.应文明参赛，服从裁判统一指挥，尊重赛场工作人员，自觉维护赛场秩序。如参赛选手因不服从裁判而停止比赛，则以弃权处理。</w:t>
      </w:r>
    </w:p>
    <w:p w14:paraId="74F16B50">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7</w:t>
      </w:r>
      <w:r>
        <w:rPr>
          <w:rFonts w:ascii="仿宋_GB2312" w:hAnsi="Times New Roman" w:eastAsia="仿宋_GB2312" w:cs="Times New Roman"/>
          <w:snapToGrid w:val="0"/>
          <w:color w:val="000000"/>
          <w:spacing w:val="2"/>
          <w:kern w:val="0"/>
          <w:sz w:val="28"/>
          <w:szCs w:val="28"/>
          <w:lang w:eastAsia="zh-CN"/>
          <w14:ligatures w14:val="standardContextual"/>
        </w:rPr>
        <w:t>.若参赛队欲提前结束比赛，应向裁判员举手示意，比赛终止时间由裁判员记录，参赛队结束比赛后不得再进行任何操作，且不能提前离场。</w:t>
      </w:r>
    </w:p>
    <w:p w14:paraId="567AA403">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8</w:t>
      </w:r>
      <w:r>
        <w:rPr>
          <w:rFonts w:ascii="仿宋_GB2312" w:hAnsi="Times New Roman" w:eastAsia="仿宋_GB2312" w:cs="Times New Roman"/>
          <w:snapToGrid w:val="0"/>
          <w:color w:val="000000"/>
          <w:spacing w:val="2"/>
          <w:kern w:val="0"/>
          <w:sz w:val="28"/>
          <w:szCs w:val="28"/>
          <w:lang w:eastAsia="zh-CN"/>
          <w14:ligatures w14:val="standardContextual"/>
        </w:rPr>
        <w:t>.对于认为有影响参赛队比赛成绩的有关行为，应向指导老师和领队反映，由指导老师和领队按大赛制度规定进行申诉。参赛选手不得利用比赛相关的微信群、QQ群、钉钉群等发表虚假信息和不当言论。</w:t>
      </w:r>
    </w:p>
    <w:p w14:paraId="57799F58">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31" w:name="bookmark53"/>
      <w:bookmarkEnd w:id="31"/>
      <w:bookmarkStart w:id="32" w:name="bookmark54"/>
      <w:bookmarkEnd w:id="32"/>
      <w:r>
        <w:rPr>
          <w:rFonts w:ascii="楷体_GB2312" w:hAnsi="Times New Roman" w:eastAsia="楷体_GB2312" w:cs="Times New Roman"/>
          <w:b/>
          <w:bCs/>
          <w:snapToGrid w:val="0"/>
          <w:color w:val="000000"/>
          <w:spacing w:val="-5"/>
          <w:kern w:val="0"/>
          <w:sz w:val="28"/>
          <w:szCs w:val="28"/>
          <w:lang w:eastAsia="zh-CN"/>
          <w14:ligatures w14:val="standardContextual"/>
        </w:rPr>
        <w:t>（二）领队须知</w:t>
      </w:r>
    </w:p>
    <w:p w14:paraId="5C3D1C6E">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1.做好赛前抽签工作，确认比赛出场顺序，协助大赛承办方组织好本单位比赛选手的各项赛事相关事宜。</w:t>
      </w:r>
    </w:p>
    <w:p w14:paraId="1E2BA10B">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2.做好本单位比赛选手的业务辅导、心理疏导和思想引导工作，对参赛选手及比赛过程报以平和、包容的心态，共同维护竞赛秩序。</w:t>
      </w:r>
    </w:p>
    <w:p w14:paraId="5C547275">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3.自觉遵守竞赛规则，尊重和支持裁判工作，不随意进入比赛现场及其他禁止入内的区域，确保比赛进程的公平、公正、顺畅、高效。</w:t>
      </w:r>
    </w:p>
    <w:p w14:paraId="15C45673">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4.各参赛队要坚决执行比赛的各项规定，加强对参赛人员的管理，做好赛前准备工作，督促选手带好证件和要求自带的工具、材料等。</w:t>
      </w:r>
    </w:p>
    <w:p w14:paraId="095495CF">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5.当本单位参赛选手对比赛进程中出现异常或疑问，应及时了解情况，客观做出判断，并做好选手的安抚工作，经内部进行协商，认为存在不符合大赛规定、有失公正的评判及工作人员违规行为等情况时，须由该参赛队伍领队在本参赛队比赛结束后2小时内，向仲裁工作组实名提交书面申诉材料。成绩公示后，对成绩有异议的，由该参赛队伍领队在成绩公示期间，向仲裁工作组提交书面申诉材料。超过申诉时效不予受理。对仲裁工作组仲裁结果不接受的，可由参赛队伍领队于仲裁结论出具2小时内向赛区仲裁委员会提出申诉，赛区仲裁委员会做出的裁决为最终裁决。存在重大争议的，可提交大赛仲裁委员会进行复核。</w:t>
      </w:r>
    </w:p>
    <w:p w14:paraId="1A4AEA9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6.参赛选手因申诉或对处理意见不服而停止比赛，以弃权处理。</w:t>
      </w:r>
    </w:p>
    <w:p w14:paraId="078AF22F">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7.在组织队伍参赛时，须为参赛队所有人员统一购买大赛离校至返校期间的人身意外伤害保险。出发前须统掌握领队自身、指导老师、参赛选手的身体状况；有既往病史、患有严重疾病者不得参加比赛。因身体原因无法参赛的，参照组委会“人员变更”相关要求执行。</w:t>
      </w:r>
    </w:p>
    <w:p w14:paraId="658E97E7">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8.在赛后做好技术总结和工作总结。</w:t>
      </w:r>
    </w:p>
    <w:p w14:paraId="5C78C826">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9.明确要求指导教师和参赛选手按制度规定的程序处理比赛过程中出现的争议问题，不得利用比赛相关的微信群、QQ群、钉钉群等发表虚假信息和不当言论。</w:t>
      </w:r>
    </w:p>
    <w:p w14:paraId="6AA8D8D2">
      <w:pPr>
        <w:widowControl/>
        <w:kinsoku w:val="0"/>
        <w:autoSpaceDE w:val="0"/>
        <w:autoSpaceDN w:val="0"/>
        <w:adjustRightInd w:val="0"/>
        <w:snapToGrid w:val="0"/>
        <w:spacing w:line="540" w:lineRule="exact"/>
        <w:ind w:left="565"/>
        <w:contextualSpacing/>
        <w:jc w:val="left"/>
        <w:textAlignment w:val="baseline"/>
        <w:outlineLvl w:val="2"/>
        <w:rPr>
          <w:rFonts w:ascii="楷体_GB2312" w:hAnsi="Times New Roman" w:eastAsia="楷体_GB2312" w:cs="Times New Roman"/>
          <w:b/>
          <w:bCs/>
          <w:snapToGrid w:val="0"/>
          <w:color w:val="000000"/>
          <w:spacing w:val="-5"/>
          <w:kern w:val="0"/>
          <w:sz w:val="28"/>
          <w:szCs w:val="28"/>
          <w:lang w:eastAsia="zh-CN"/>
          <w14:ligatures w14:val="standardContextual"/>
        </w:rPr>
      </w:pPr>
      <w:bookmarkStart w:id="33" w:name="bookmark56"/>
      <w:bookmarkEnd w:id="33"/>
      <w:bookmarkStart w:id="34" w:name="bookmark55"/>
      <w:bookmarkEnd w:id="34"/>
      <w:r>
        <w:rPr>
          <w:rFonts w:ascii="楷体_GB2312" w:hAnsi="Times New Roman" w:eastAsia="楷体_GB2312" w:cs="Times New Roman"/>
          <w:b/>
          <w:bCs/>
          <w:snapToGrid w:val="0"/>
          <w:color w:val="000000"/>
          <w:spacing w:val="-5"/>
          <w:kern w:val="0"/>
          <w:sz w:val="28"/>
          <w:szCs w:val="28"/>
          <w:lang w:eastAsia="zh-CN"/>
          <w14:ligatures w14:val="standardContextual"/>
        </w:rPr>
        <w:t>（三）指导老师须知</w:t>
      </w:r>
    </w:p>
    <w:p w14:paraId="1A157413">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1.各参赛队指导老师限报2人，须为本校专兼职教师。</w:t>
      </w:r>
    </w:p>
    <w:p w14:paraId="4B9829E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2.应根据行业产业发展需要结合专业教学，认真指导选手进行项目设计和训练，培养选手的职业综合能力和良好的职业素养。</w:t>
      </w:r>
    </w:p>
    <w:p w14:paraId="3BD491D1">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3.指导教师应认真研究和掌握本赛项比赛的技术规则和赛场要求，指导选手做好赛前的一切准备工作。</w:t>
      </w:r>
    </w:p>
    <w:p w14:paraId="6769068F">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4.做好选手比赛期间的服务和管理工作，做好选手的安全教育。</w:t>
      </w:r>
    </w:p>
    <w:p w14:paraId="432B38F5">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5.应自觉遵守大赛各项制度，尊重裁判、纪律监督、仲裁及工作人员。</w:t>
      </w:r>
    </w:p>
    <w:p w14:paraId="14D2B5C1">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6.要引导和教育参赛选手遵守竞赛规则，不得在网络社交媒体平台、微信群等各种媒体发表、传播有待核实的信息和过激的言论。</w:t>
      </w:r>
    </w:p>
    <w:p w14:paraId="4FDF7FE1">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7.参加赛事观摩活动，遵守比赛观摩要求，不得违反相关规定干扰比赛正常进行。</w:t>
      </w:r>
    </w:p>
    <w:p w14:paraId="58D620D8">
      <w:pPr>
        <w:widowControl/>
        <w:kinsoku w:val="0"/>
        <w:autoSpaceDE w:val="0"/>
        <w:autoSpaceDN w:val="0"/>
        <w:adjustRightInd w:val="0"/>
        <w:snapToGrid w:val="0"/>
        <w:spacing w:line="540" w:lineRule="exact"/>
        <w:ind w:left="565"/>
        <w:contextualSpacing/>
        <w:jc w:val="left"/>
        <w:textAlignment w:val="baseline"/>
        <w:outlineLvl w:val="2"/>
        <w:rPr>
          <w:rFonts w:hint="eastAsia" w:ascii="楷体_GB2312" w:hAnsi="Times New Roman" w:eastAsia="楷体_GB2312" w:cs="Times New Roman"/>
          <w:b/>
          <w:bCs/>
          <w:snapToGrid w:val="0"/>
          <w:color w:val="000000"/>
          <w:spacing w:val="-5"/>
          <w:kern w:val="0"/>
          <w:sz w:val="28"/>
          <w:szCs w:val="28"/>
          <w:lang w:eastAsia="zh-CN"/>
          <w14:ligatures w14:val="standardContextual"/>
        </w:rPr>
      </w:pPr>
      <w:bookmarkStart w:id="35" w:name="bookmark58"/>
      <w:bookmarkEnd w:id="35"/>
      <w:r>
        <w:rPr>
          <w:rFonts w:ascii="楷体_GB2312" w:hAnsi="Times New Roman" w:eastAsia="楷体_GB2312" w:cs="Times New Roman"/>
          <w:b/>
          <w:bCs/>
          <w:snapToGrid w:val="0"/>
          <w:color w:val="000000"/>
          <w:spacing w:val="-5"/>
          <w:kern w:val="0"/>
          <w:sz w:val="28"/>
          <w:szCs w:val="28"/>
          <w:lang w:eastAsia="zh-CN"/>
          <w14:ligatures w14:val="standardContextual"/>
        </w:rPr>
        <w:t>（四）参赛选手须知</w:t>
      </w:r>
    </w:p>
    <w:p w14:paraId="427C2C9B">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1.参赛选手应严格遵守赛场规章、操作规范，保证人身及设备安全，接受裁判员的监督和警示，文明竞赛。</w:t>
      </w:r>
    </w:p>
    <w:p w14:paraId="56557426">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2.参赛选手凭证入场，在赛场内操作期间要始终佩戴参赛凭证以备检查。</w:t>
      </w:r>
    </w:p>
    <w:p w14:paraId="118A129E">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3.须严格按照规定时间进入候考区和比赛场地。竞赛期间不准携带任何与参赛设备无关的电子产品及通讯工具、与竞赛无关的移动存储器、照相器材等用品以及其他与竞赛有关的资料和书籍（设备清单中物品视为与竞赛相关），否则取消该队参赛资格。不得以任何方式泄露参赛学校、选手姓名等涉及竞赛场上应该保密的信息。</w:t>
      </w:r>
    </w:p>
    <w:p w14:paraId="4E8C27D3">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4.尊重裁判和赛场工作人员，自觉遵守赛场纪律和秩序。</w:t>
      </w:r>
    </w:p>
    <w:p w14:paraId="3DB92495">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5.入场后，听从现场裁判</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或工作人员</w:t>
      </w:r>
      <w:r>
        <w:rPr>
          <w:rFonts w:ascii="仿宋_GB2312" w:hAnsi="Times New Roman" w:eastAsia="仿宋_GB2312" w:cs="Times New Roman"/>
          <w:snapToGrid w:val="0"/>
          <w:color w:val="000000"/>
          <w:spacing w:val="2"/>
          <w:kern w:val="0"/>
          <w:sz w:val="28"/>
          <w:szCs w:val="28"/>
          <w:lang w:eastAsia="zh-CN"/>
          <w14:ligatures w14:val="standardContextual"/>
        </w:rPr>
        <w:t>指挥，比赛开始后才能开始作业，不得提前进行相关操作。</w:t>
      </w:r>
    </w:p>
    <w:p w14:paraId="3D1C1671">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ascii="仿宋_GB2312" w:hAnsi="Times New Roman" w:eastAsia="仿宋_GB2312" w:cs="Times New Roman"/>
          <w:snapToGrid w:val="0"/>
          <w:color w:val="000000"/>
          <w:spacing w:val="2"/>
          <w:kern w:val="0"/>
          <w:sz w:val="28"/>
          <w:szCs w:val="28"/>
          <w:lang w:eastAsia="zh-CN"/>
          <w14:ligatures w14:val="standardContextual"/>
        </w:rPr>
        <w:t>6.项目一“幼儿游戏观察与分析”比赛期间，参赛队成员可在本队内部进行讨论与协作，不得与其他参赛队伍或无关人员交流。参赛队应在规定时间内完成并提交答题纸，提交后不得修改。比赛视频、答题纸等材料不得擅自复制、拍摄或带离赛场。</w:t>
      </w:r>
      <w:r>
        <w:rPr>
          <w:rFonts w:ascii="仿宋_GB2312" w:hAnsi="Times New Roman" w:eastAsia="仿宋_GB2312" w:cs="Times New Roman"/>
          <w:snapToGrid w:val="0"/>
          <w:color w:val="000000"/>
          <w:spacing w:val="2"/>
          <w:kern w:val="0"/>
          <w:sz w:val="28"/>
          <w:szCs w:val="28"/>
          <w:lang w:val="en-US" w:eastAsia="zh-CN"/>
          <w14:ligatures w14:val="standardContextual"/>
        </w:rPr>
        <w:t>答题纸应按要求填写参赛队加密编号，不得出现参赛学校、选手姓名等身份信息。</w:t>
      </w:r>
    </w:p>
    <w:p w14:paraId="13303FC8">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7.</w:t>
      </w:r>
      <w:r>
        <w:rPr>
          <w:rFonts w:ascii="仿宋_GB2312" w:hAnsi="Times New Roman" w:eastAsia="仿宋_GB2312" w:cs="Times New Roman"/>
          <w:snapToGrid w:val="0"/>
          <w:color w:val="000000"/>
          <w:spacing w:val="2"/>
          <w:kern w:val="0"/>
          <w:sz w:val="28"/>
          <w:szCs w:val="28"/>
          <w:lang w:eastAsia="zh-CN"/>
          <w14:ligatures w14:val="standardContextual"/>
        </w:rPr>
        <w:t>凡在竞赛期间提前离开的选手作退赛处理。</w:t>
      </w:r>
    </w:p>
    <w:p w14:paraId="02084561">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8</w:t>
      </w:r>
      <w:r>
        <w:rPr>
          <w:rFonts w:ascii="仿宋_GB2312" w:hAnsi="Times New Roman" w:eastAsia="仿宋_GB2312" w:cs="Times New Roman"/>
          <w:snapToGrid w:val="0"/>
          <w:color w:val="000000"/>
          <w:spacing w:val="2"/>
          <w:kern w:val="0"/>
          <w:sz w:val="28"/>
          <w:szCs w:val="28"/>
          <w:lang w:eastAsia="zh-CN"/>
          <w14:ligatures w14:val="standardContextual"/>
        </w:rPr>
        <w:t>.参赛选手须严格遵守安全操作规范，确保人身及设备安全。竞赛期间，若因选手个人原因出现安全事件或设备故障不能进行竞赛的，由裁判组裁定其竞赛结束，保留竞赛资格，累计其有效竞赛成绩；非选手个人原因出现的设备故障，由裁判组做出裁决，可视具体情况给选手补足排除故障耗费时间，并由参赛队长签字确认。</w:t>
      </w:r>
    </w:p>
    <w:p w14:paraId="304578DA">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9</w:t>
      </w:r>
      <w:r>
        <w:rPr>
          <w:rFonts w:ascii="仿宋_GB2312" w:hAnsi="Times New Roman" w:eastAsia="仿宋_GB2312" w:cs="Times New Roman"/>
          <w:snapToGrid w:val="0"/>
          <w:color w:val="000000"/>
          <w:spacing w:val="2"/>
          <w:kern w:val="0"/>
          <w:sz w:val="28"/>
          <w:szCs w:val="28"/>
          <w:lang w:eastAsia="zh-CN"/>
          <w14:ligatures w14:val="standardContextual"/>
        </w:rPr>
        <w:t>.参赛选手赛场外的管理由各参赛队领队负责。</w:t>
      </w:r>
    </w:p>
    <w:p w14:paraId="59180AAD">
      <w:pPr>
        <w:widowControl/>
        <w:kinsoku/>
        <w:overflowPunct w:val="0"/>
        <w:autoSpaceDE w:val="0"/>
        <w:autoSpaceDN w:val="0"/>
        <w:adjustRightInd w:val="0"/>
        <w:snapToGrid w:val="0"/>
        <w:spacing w:line="540" w:lineRule="exact"/>
        <w:ind w:firstLine="568" w:firstLineChars="200"/>
        <w:jc w:val="both"/>
        <w:textAlignment w:val="baseline"/>
        <w:rPr>
          <w:rFonts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val="en-US" w:eastAsia="zh-CN"/>
          <w14:ligatures w14:val="standardContextual"/>
        </w:rPr>
        <w:t>10</w:t>
      </w:r>
      <w:r>
        <w:rPr>
          <w:rFonts w:ascii="仿宋_GB2312" w:hAnsi="Times New Roman" w:eastAsia="仿宋_GB2312" w:cs="Times New Roman"/>
          <w:snapToGrid w:val="0"/>
          <w:color w:val="000000"/>
          <w:spacing w:val="2"/>
          <w:kern w:val="0"/>
          <w:sz w:val="28"/>
          <w:szCs w:val="28"/>
          <w:lang w:eastAsia="zh-CN"/>
          <w14:ligatures w14:val="standardContextual"/>
        </w:rPr>
        <w:t>.参赛队欲提前结束竞赛，应向现场裁判</w:t>
      </w:r>
      <w:r>
        <w:rPr>
          <w:rFonts w:hint="eastAsia" w:ascii="仿宋_GB2312" w:hAnsi="Times New Roman" w:eastAsia="仿宋_GB2312" w:cs="Times New Roman"/>
          <w:snapToGrid w:val="0"/>
          <w:color w:val="000000"/>
          <w:spacing w:val="2"/>
          <w:kern w:val="0"/>
          <w:sz w:val="28"/>
          <w:szCs w:val="28"/>
          <w:lang w:val="en-US" w:eastAsia="zh-CN"/>
          <w14:ligatures w14:val="standardContextual"/>
        </w:rPr>
        <w:t>或工作人员</w:t>
      </w:r>
      <w:r>
        <w:rPr>
          <w:rFonts w:ascii="仿宋_GB2312" w:hAnsi="Times New Roman" w:eastAsia="仿宋_GB2312" w:cs="Times New Roman"/>
          <w:snapToGrid w:val="0"/>
          <w:color w:val="000000"/>
          <w:spacing w:val="2"/>
          <w:kern w:val="0"/>
          <w:sz w:val="28"/>
          <w:szCs w:val="28"/>
          <w:lang w:eastAsia="zh-CN"/>
          <w14:ligatures w14:val="standardContextual"/>
        </w:rPr>
        <w:t>举手示意，竞赛所用时间由现场裁判记录。结束竞赛后参赛队不能进行任何与竞赛相关的操作。</w:t>
      </w:r>
    </w:p>
    <w:p w14:paraId="7BADD53F">
      <w:pPr>
        <w:widowControl/>
        <w:kinsoku/>
        <w:overflowPunct w:val="0"/>
        <w:autoSpaceDE w:val="0"/>
        <w:autoSpaceDN w:val="0"/>
        <w:adjustRightInd w:val="0"/>
        <w:snapToGrid w:val="0"/>
        <w:spacing w:before="0" w:after="0" w:line="540" w:lineRule="exact"/>
        <w:ind w:firstLine="560" w:firstLineChars="200"/>
        <w:jc w:val="both"/>
        <w:textAlignment w:val="baseline"/>
        <w:rPr>
          <w:rFonts w:hint="eastAsia" w:ascii="黑体" w:hAnsi="黑体" w:eastAsia="黑体" w:cs="黑体"/>
          <w:b w:val="0"/>
          <w:i w:val="0"/>
          <w:snapToGrid w:val="0"/>
          <w:color w:val="000000"/>
          <w:kern w:val="0"/>
          <w:sz w:val="28"/>
          <w:szCs w:val="21"/>
          <w:lang w:eastAsia="zh-CN"/>
          <w14:ligatures w14:val="none"/>
        </w:rPr>
      </w:pPr>
      <w:r>
        <w:rPr>
          <w:rFonts w:hint="eastAsia" w:ascii="黑体" w:hAnsi="黑体" w:eastAsia="黑体" w:cs="黑体"/>
          <w:b w:val="0"/>
          <w:i w:val="0"/>
          <w:snapToGrid w:val="0"/>
          <w:color w:val="000000"/>
          <w:kern w:val="0"/>
          <w:sz w:val="28"/>
          <w:szCs w:val="21"/>
          <w:lang w:eastAsia="zh-CN"/>
          <w14:ligatures w14:val="none"/>
        </w:rPr>
        <w:t>十、技术规范</w:t>
      </w:r>
    </w:p>
    <w:p w14:paraId="0DBD434C">
      <w:pPr>
        <w:keepNext/>
        <w:keepLines/>
        <w:kinsoku w:val="0"/>
        <w:autoSpaceDE w:val="0"/>
        <w:autoSpaceDN w:val="0"/>
        <w:adjustRightInd w:val="0"/>
        <w:snapToGrid w:val="0"/>
        <w:spacing w:before="0" w:after="0" w:line="540" w:lineRule="exact"/>
        <w:ind w:left="0" w:right="0" w:firstLine="561" w:firstLineChars="200"/>
        <w:jc w:val="left"/>
        <w:textAlignment w:val="baseline"/>
        <w:outlineLvl w:val="1"/>
        <w:rPr>
          <w:rFonts w:hint="eastAsia" w:ascii="楷体_GB2312" w:hAnsi="楷体_GB2312" w:eastAsia="楷体_GB2312" w:cs="楷体_GB2312"/>
          <w:b/>
          <w:bCs/>
          <w:i w:val="0"/>
          <w:snapToGrid w:val="0"/>
          <w:color w:val="000000"/>
          <w:kern w:val="0"/>
          <w:sz w:val="28"/>
          <w:szCs w:val="32"/>
          <w:lang w:val="en-US" w:eastAsia="zh-CN" w:bidi="ar-SA"/>
          <w14:ligatures w14:val="none"/>
        </w:rPr>
      </w:pPr>
      <w:r>
        <w:rPr>
          <w:rFonts w:hint="eastAsia" w:ascii="楷体_GB2312" w:hAnsi="楷体_GB2312" w:eastAsia="楷体_GB2312" w:cs="楷体_GB2312"/>
          <w:b/>
          <w:bCs/>
          <w:i w:val="0"/>
          <w:snapToGrid w:val="0"/>
          <w:color w:val="000000"/>
          <w:kern w:val="0"/>
          <w:sz w:val="28"/>
          <w:szCs w:val="32"/>
          <w:lang w:val="en-US" w:eastAsia="zh-CN" w:bidi="ar-SA"/>
          <w14:ligatures w14:val="none"/>
        </w:rPr>
        <w:t>（一）赛项遵循的相关标准和规范</w:t>
      </w:r>
    </w:p>
    <w:p w14:paraId="79CE83B7">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本赛项主要对接幼儿园教师职业岗位，依据国家学前教育相关法律法规、职业分类、教师专业标准及职业行为规范，参照学前教育专业教学标准和适用的国家技术标准，主要包括：</w:t>
      </w:r>
    </w:p>
    <w:p w14:paraId="13D6618B">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p>
    <w:p w14:paraId="6045DABF">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w:t>
      </w:r>
      <w:r>
        <w:rPr>
          <w:rFonts w:hint="eastAsia" w:ascii="仿宋_GB2312" w:hAnsi="Times New Roman" w:eastAsia="仿宋_GB2312" w:cs="Times New Roman"/>
          <w:snapToGrid w:val="0"/>
          <w:color w:val="000000"/>
          <w:spacing w:val="2"/>
          <w:kern w:val="0"/>
          <w:sz w:val="28"/>
          <w:szCs w:val="28"/>
          <w:lang w:eastAsia="zh-CN"/>
          <w14:ligatures w14:val="standardContextual"/>
        </w:rPr>
        <w:t>《中华人民共和国职业分类大典（2022年版）》：幼儿园教师（职业编码：2-08-03-00）。</w:t>
      </w:r>
    </w:p>
    <w:p w14:paraId="358FD944">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2.</w:t>
      </w:r>
      <w:r>
        <w:rPr>
          <w:rFonts w:hint="eastAsia" w:ascii="仿宋_GB2312" w:hAnsi="Times New Roman" w:eastAsia="仿宋_GB2312" w:cs="Times New Roman"/>
          <w:snapToGrid w:val="0"/>
          <w:color w:val="000000"/>
          <w:spacing w:val="2"/>
          <w:kern w:val="0"/>
          <w:sz w:val="28"/>
          <w:szCs w:val="28"/>
          <w:lang w:eastAsia="zh-CN"/>
          <w14:ligatures w14:val="standardContextual"/>
        </w:rPr>
        <w:t>《中华人民共和国学前教育法》（2025年6月1日起施行）。</w:t>
      </w:r>
    </w:p>
    <w:p w14:paraId="1D50F29D">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3.</w:t>
      </w:r>
      <w:r>
        <w:rPr>
          <w:rFonts w:hint="eastAsia" w:ascii="仿宋_GB2312" w:hAnsi="Times New Roman" w:eastAsia="仿宋_GB2312" w:cs="Times New Roman"/>
          <w:snapToGrid w:val="0"/>
          <w:color w:val="000000"/>
          <w:spacing w:val="2"/>
          <w:kern w:val="0"/>
          <w:sz w:val="28"/>
          <w:szCs w:val="28"/>
          <w:lang w:eastAsia="zh-CN"/>
          <w14:ligatures w14:val="standardContextual"/>
        </w:rPr>
        <w:t>《幼儿园工作规程》（中华人民共和国教育部令第39号）。</w:t>
      </w:r>
    </w:p>
    <w:p w14:paraId="7978C6F5">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4.</w:t>
      </w:r>
      <w:r>
        <w:rPr>
          <w:rFonts w:hint="eastAsia" w:ascii="仿宋_GB2312" w:hAnsi="Times New Roman" w:eastAsia="仿宋_GB2312" w:cs="Times New Roman"/>
          <w:snapToGrid w:val="0"/>
          <w:color w:val="000000"/>
          <w:spacing w:val="2"/>
          <w:kern w:val="0"/>
          <w:sz w:val="28"/>
          <w:szCs w:val="28"/>
          <w:lang w:eastAsia="zh-CN"/>
          <w14:ligatures w14:val="standardContextual"/>
        </w:rPr>
        <w:t>《幼儿园教育指导纲要（试行）》（教基〔2001〕20号）。</w:t>
      </w:r>
    </w:p>
    <w:p w14:paraId="65E02F32">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5.</w:t>
      </w:r>
      <w:r>
        <w:rPr>
          <w:rFonts w:hint="eastAsia" w:ascii="仿宋_GB2312" w:hAnsi="Times New Roman" w:eastAsia="仿宋_GB2312" w:cs="Times New Roman"/>
          <w:snapToGrid w:val="0"/>
          <w:color w:val="000000"/>
          <w:spacing w:val="2"/>
          <w:kern w:val="0"/>
          <w:sz w:val="28"/>
          <w:szCs w:val="28"/>
          <w:lang w:eastAsia="zh-CN"/>
          <w14:ligatures w14:val="standardContextual"/>
        </w:rPr>
        <w:t>《3—6岁儿童学习与发展指南》（教基二〔2012〕4号）。</w:t>
      </w:r>
    </w:p>
    <w:p w14:paraId="3244C707">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6.</w:t>
      </w:r>
      <w:r>
        <w:rPr>
          <w:rFonts w:hint="eastAsia" w:ascii="仿宋_GB2312" w:hAnsi="Times New Roman" w:eastAsia="仿宋_GB2312" w:cs="Times New Roman"/>
          <w:snapToGrid w:val="0"/>
          <w:color w:val="000000"/>
          <w:spacing w:val="2"/>
          <w:kern w:val="0"/>
          <w:sz w:val="28"/>
          <w:szCs w:val="28"/>
          <w:lang w:eastAsia="zh-CN"/>
          <w14:ligatures w14:val="standardContextual"/>
        </w:rPr>
        <w:t>《幼儿园保育教育质量评估指南》（教基〔2022〕1号）。</w:t>
      </w:r>
    </w:p>
    <w:p w14:paraId="35BD846C">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7.</w:t>
      </w:r>
      <w:r>
        <w:rPr>
          <w:rFonts w:hint="eastAsia" w:ascii="仿宋_GB2312" w:hAnsi="Times New Roman" w:eastAsia="仿宋_GB2312" w:cs="Times New Roman"/>
          <w:snapToGrid w:val="0"/>
          <w:color w:val="000000"/>
          <w:spacing w:val="2"/>
          <w:kern w:val="0"/>
          <w:sz w:val="28"/>
          <w:szCs w:val="28"/>
          <w:lang w:eastAsia="zh-CN"/>
          <w14:ligatures w14:val="standardContextual"/>
        </w:rPr>
        <w:t>《幼儿园教师专业标准（试行）》（教师〔2012〕1号）。</w:t>
      </w:r>
    </w:p>
    <w:p w14:paraId="7E4D5D9C">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8.</w:t>
      </w:r>
      <w:r>
        <w:rPr>
          <w:rFonts w:hint="eastAsia" w:ascii="仿宋_GB2312" w:hAnsi="Times New Roman" w:eastAsia="仿宋_GB2312" w:cs="Times New Roman"/>
          <w:snapToGrid w:val="0"/>
          <w:color w:val="000000"/>
          <w:spacing w:val="2"/>
          <w:kern w:val="0"/>
          <w:sz w:val="28"/>
          <w:szCs w:val="28"/>
          <w:lang w:eastAsia="zh-CN"/>
          <w14:ligatures w14:val="standardContextual"/>
        </w:rPr>
        <w:t>《新时代幼儿园教师职业行为十项准则》（教师〔2018〕16号）。</w:t>
      </w:r>
    </w:p>
    <w:p w14:paraId="1F546ED9">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9.</w:t>
      </w:r>
      <w:r>
        <w:rPr>
          <w:rFonts w:hint="eastAsia" w:ascii="仿宋_GB2312" w:hAnsi="Times New Roman" w:eastAsia="仿宋_GB2312" w:cs="Times New Roman"/>
          <w:snapToGrid w:val="0"/>
          <w:color w:val="000000"/>
          <w:spacing w:val="2"/>
          <w:kern w:val="0"/>
          <w:sz w:val="28"/>
          <w:szCs w:val="28"/>
          <w:lang w:eastAsia="zh-CN"/>
          <w14:ligatures w14:val="standardContextual"/>
        </w:rPr>
        <w:t>《学前教育专业教学标准（高等职业教育专科）》（专业代码：570102K）。</w:t>
      </w:r>
    </w:p>
    <w:p w14:paraId="723D25A4">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10.</w:t>
      </w:r>
      <w:r>
        <w:rPr>
          <w:rFonts w:hint="eastAsia" w:ascii="仿宋_GB2312" w:hAnsi="Times New Roman" w:eastAsia="仿宋_GB2312" w:cs="Times New Roman"/>
          <w:snapToGrid w:val="0"/>
          <w:color w:val="000000"/>
          <w:spacing w:val="2"/>
          <w:kern w:val="0"/>
          <w:sz w:val="28"/>
          <w:szCs w:val="28"/>
          <w:lang w:eastAsia="zh-CN"/>
          <w14:ligatures w14:val="standardContextual"/>
        </w:rPr>
        <w:t>《学前教育专业教学标准（高等职业教育本科）》（专业代码：370101）。</w:t>
      </w:r>
    </w:p>
    <w:p w14:paraId="490935BF">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11.</w:t>
      </w:r>
      <w:r>
        <w:rPr>
          <w:rFonts w:hint="eastAsia" w:ascii="仿宋_GB2312" w:hAnsi="Times New Roman" w:eastAsia="仿宋_GB2312" w:cs="Times New Roman"/>
          <w:snapToGrid w:val="0"/>
          <w:color w:val="000000"/>
          <w:spacing w:val="2"/>
          <w:kern w:val="0"/>
          <w:sz w:val="28"/>
          <w:szCs w:val="28"/>
          <w:lang w:eastAsia="zh-CN"/>
          <w14:ligatures w14:val="standardContextual"/>
        </w:rPr>
        <w:t>《玩具安全》系列国家标准：GB 6675.1—2025《玩具安全 第1部分：基本规范》、GB 6675.2—2025《玩具安全 第2部分：机械与物理性能》、GB 6675.3—2025《玩具安全 第3部分：易燃性能》、GB 6675.4—2025《玩具安全 第4部分：特定元素的迁移》。涉及适用范围内的玩具产品设计、制作与使用时，应符合相关标准要求。</w:t>
      </w:r>
    </w:p>
    <w:p w14:paraId="7820966C">
      <w:pPr>
        <w:keepNext/>
        <w:keepLines/>
        <w:kinsoku w:val="0"/>
        <w:autoSpaceDE w:val="0"/>
        <w:autoSpaceDN w:val="0"/>
        <w:adjustRightInd w:val="0"/>
        <w:snapToGrid w:val="0"/>
        <w:spacing w:before="0" w:after="0" w:line="540" w:lineRule="exact"/>
        <w:ind w:left="0" w:right="0" w:firstLine="561" w:firstLineChars="200"/>
        <w:jc w:val="left"/>
        <w:textAlignment w:val="baseline"/>
        <w:outlineLvl w:val="1"/>
        <w:rPr>
          <w:rFonts w:hint="eastAsia" w:ascii="楷体_GB2312" w:hAnsi="楷体_GB2312" w:eastAsia="楷体_GB2312" w:cs="楷体_GB2312"/>
          <w:b/>
          <w:bCs/>
          <w:i w:val="0"/>
          <w:snapToGrid w:val="0"/>
          <w:color w:val="000000"/>
          <w:kern w:val="0"/>
          <w:sz w:val="28"/>
          <w:szCs w:val="32"/>
          <w:lang w:val="en-US" w:eastAsia="zh-CN" w:bidi="ar-SA"/>
          <w14:ligatures w14:val="none"/>
        </w:rPr>
      </w:pPr>
      <w:r>
        <w:rPr>
          <w:rFonts w:hint="eastAsia" w:ascii="楷体_GB2312" w:hAnsi="楷体_GB2312" w:eastAsia="楷体_GB2312" w:cs="楷体_GB2312"/>
          <w:b/>
          <w:bCs/>
          <w:i w:val="0"/>
          <w:snapToGrid w:val="0"/>
          <w:color w:val="000000"/>
          <w:kern w:val="0"/>
          <w:sz w:val="28"/>
          <w:szCs w:val="32"/>
          <w:lang w:val="en-US" w:eastAsia="zh-CN" w:bidi="ar-SA"/>
          <w14:ligatures w14:val="none"/>
        </w:rPr>
        <w:t>（二）赛项涉及的相关专业能力要求</w:t>
      </w:r>
    </w:p>
    <w:p w14:paraId="5DEA2AC0">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eastAsia" w:ascii="仿宋_GB2312" w:hAnsi="Times New Roman" w:eastAsia="仿宋_GB2312" w:cs="Times New Roman"/>
          <w:snapToGrid w:val="0"/>
          <w:color w:val="000000"/>
          <w:spacing w:val="2"/>
          <w:kern w:val="0"/>
          <w:sz w:val="28"/>
          <w:szCs w:val="28"/>
          <w:lang w:eastAsia="zh-CN"/>
          <w14:ligatures w14:val="standardContextual"/>
        </w:rPr>
        <w:t>专业知识、技术技能、保育教育活动设计与实施及相关操作规范等：</w:t>
      </w:r>
    </w:p>
    <w:p w14:paraId="3BDF2E33">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p>
    <w:p w14:paraId="777329B2">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w:t>
      </w:r>
      <w:r>
        <w:rPr>
          <w:rFonts w:hint="eastAsia" w:ascii="仿宋_GB2312" w:hAnsi="Times New Roman" w:eastAsia="仿宋_GB2312" w:cs="Times New Roman"/>
          <w:snapToGrid w:val="0"/>
          <w:color w:val="000000"/>
          <w:spacing w:val="2"/>
          <w:kern w:val="0"/>
          <w:sz w:val="28"/>
          <w:szCs w:val="28"/>
          <w:lang w:eastAsia="zh-CN"/>
          <w14:ligatures w14:val="standardContextual"/>
        </w:rPr>
        <w:t>掌握学前教育相关法律法规、政策文件和教师职业道德规范，树立科学的儿童观、教育观和教师观，尊重幼儿人格和个体差异，遵守幼儿园教师职业行为规范。</w:t>
      </w:r>
    </w:p>
    <w:p w14:paraId="30369BDB">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2.</w:t>
      </w:r>
      <w:r>
        <w:rPr>
          <w:rFonts w:hint="eastAsia" w:ascii="仿宋_GB2312" w:hAnsi="Times New Roman" w:eastAsia="仿宋_GB2312" w:cs="Times New Roman"/>
          <w:snapToGrid w:val="0"/>
          <w:color w:val="000000"/>
          <w:spacing w:val="2"/>
          <w:kern w:val="0"/>
          <w:sz w:val="28"/>
          <w:szCs w:val="28"/>
          <w:lang w:eastAsia="zh-CN"/>
          <w14:ligatures w14:val="standardContextual"/>
        </w:rPr>
        <w:t>掌握3—6岁幼儿身心发展的基本规律、年龄特点和学习方式，理解幼儿的个体差异，具备运用儿童发展知识分析保育教育实际问题的能力。</w:t>
      </w:r>
    </w:p>
    <w:p w14:paraId="5C172422">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3.</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掌握幼儿园健康、语言、社会、科学、艺术五大领域的基本教育内容与要求，能够结合幼儿年龄特点和发展需要，合理选择教育内容与活动方式。</w:t>
      </w:r>
    </w:p>
    <w:p w14:paraId="0EBC5F73">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4.</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掌握幼儿行为观察、记录与分析的基本方法，能够围绕观察任务客观记录幼儿在游戏活动中的行为表现，区分观察事实与分析判断。</w:t>
      </w:r>
    </w:p>
    <w:p w14:paraId="44453584">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5.</w:t>
      </w:r>
      <w:r>
        <w:rPr>
          <w:rFonts w:hint="eastAsia" w:ascii="仿宋_GB2312" w:hAnsi="Times New Roman" w:eastAsia="仿宋_GB2312" w:cs="Times New Roman"/>
          <w:snapToGrid w:val="0"/>
          <w:color w:val="000000"/>
          <w:spacing w:val="2"/>
          <w:kern w:val="0"/>
          <w:sz w:val="28"/>
          <w:szCs w:val="28"/>
          <w:lang w:eastAsia="zh-CN"/>
          <w14:ligatures w14:val="standardContextual"/>
        </w:rPr>
        <w:t>具有幼儿游戏行为分析能力，能够结合具体观察事实，合理理解幼儿的游戏兴趣、行为表现、学习过程及可能的学习与发展需要，并作出有依据的专业分析。</w:t>
      </w:r>
    </w:p>
    <w:p w14:paraId="52249B9E">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6.</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掌握幼儿园游戏活动支持与引导的基本方法，能够结合幼儿游戏行为及具体情境，合理判断教师的角色、支持时机和支持方式，提出适宜的教育支持策略。</w:t>
      </w:r>
    </w:p>
    <w:p w14:paraId="15397E00">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7.</w:t>
      </w:r>
      <w:r>
        <w:rPr>
          <w:rFonts w:hint="eastAsia" w:ascii="仿宋_GB2312" w:hAnsi="Times New Roman" w:eastAsia="仿宋_GB2312" w:cs="Times New Roman"/>
          <w:snapToGrid w:val="0"/>
          <w:color w:val="000000"/>
          <w:spacing w:val="2"/>
          <w:kern w:val="0"/>
          <w:sz w:val="28"/>
          <w:szCs w:val="28"/>
          <w:lang w:eastAsia="zh-CN"/>
          <w14:ligatures w14:val="standardContextual"/>
        </w:rPr>
        <w:t>具有幼儿园保育教育活动设计能力，能够结合实际教育问题确定活动目标，合理选择活动内容、组织形式、教育方法及活动材料，形成科学、适宜、可实施的活动方案。</w:t>
      </w:r>
    </w:p>
    <w:p w14:paraId="1B665D5E">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8.</w:t>
      </w:r>
      <w:r>
        <w:rPr>
          <w:rFonts w:hint="eastAsia" w:ascii="仿宋_GB2312" w:hAnsi="Times New Roman" w:eastAsia="仿宋_GB2312" w:cs="Times New Roman"/>
          <w:snapToGrid w:val="0"/>
          <w:color w:val="000000"/>
          <w:spacing w:val="2"/>
          <w:kern w:val="0"/>
          <w:sz w:val="28"/>
          <w:szCs w:val="28"/>
          <w:lang w:eastAsia="zh-CN"/>
          <w14:ligatures w14:val="standardContextual"/>
        </w:rPr>
        <w:t>具有幼儿园保育教育活动组织与实施能力，能够运用适宜的教育方法开展活动，根据实际情境合理调整活动过程，支持幼儿主动探索、交流合作和表达表现。</w:t>
      </w:r>
    </w:p>
    <w:p w14:paraId="33089A3C">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9.</w:t>
      </w:r>
      <w:r>
        <w:rPr>
          <w:rFonts w:hint="eastAsia" w:ascii="仿宋_GB2312" w:hAnsi="Times New Roman" w:eastAsia="仿宋_GB2312" w:cs="Times New Roman"/>
          <w:snapToGrid w:val="0"/>
          <w:color w:val="000000"/>
          <w:spacing w:val="2"/>
          <w:kern w:val="0"/>
          <w:sz w:val="28"/>
          <w:szCs w:val="28"/>
          <w:lang w:eastAsia="zh-CN"/>
          <w14:ligatures w14:val="standardContextual"/>
        </w:rPr>
        <w:t>具有良好的普通话表达、儿童故事讲述和师幼沟通能力，能够根据幼儿年龄特点及教育活动需要，合理运用语言进行讲解、互动和引导。</w:t>
      </w:r>
    </w:p>
    <w:p w14:paraId="410F8AF0">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10.</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掌握幼儿园教师常用的音乐、弹唱、美术表现及手工制作等基本技能，能够根据教育活动需要合理运用相关艺术表现方式。</w:t>
      </w:r>
    </w:p>
    <w:p w14:paraId="74BF2247">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11.</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掌握幼儿园教育环境创设及教育资源开发利用的基本方法，具有玩教具设计、材料制作与应用能力，能够根据幼儿发展需要合理选择材料，兼顾教育性、适宜性、安全性和实用性。</w:t>
      </w:r>
    </w:p>
    <w:p w14:paraId="6EED77D7">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12.</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掌握幼儿园日常保育、卫生保健和安全防护的基本知识与操作要求，能够识别保育教育活动中的常见安全风险，规范使用相关设备、工具和材料，具备基本的安全防护与应急处理能力。</w:t>
      </w:r>
    </w:p>
    <w:p w14:paraId="199FEE9C">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13.</w:t>
      </w:r>
      <w:r>
        <w:rPr>
          <w:rFonts w:hint="eastAsia" w:ascii="仿宋_GB2312" w:hAnsi="Times New Roman" w:eastAsia="仿宋_GB2312" w:cs="Times New Roman"/>
          <w:snapToGrid w:val="0"/>
          <w:color w:val="000000"/>
          <w:spacing w:val="2"/>
          <w:kern w:val="0"/>
          <w:sz w:val="28"/>
          <w:szCs w:val="28"/>
          <w:lang w:eastAsia="zh-CN"/>
          <w14:ligatures w14:val="standardContextual"/>
        </w:rPr>
        <w:t>掌握幼儿园保育教育活动评价与反思的基本方法，能够结合幼儿行为表现和活动实施情况，对教育活动的适宜性进行分析，提出科学、合理的改进建议。</w:t>
      </w:r>
    </w:p>
    <w:p w14:paraId="54E2F8DF">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14.</w:t>
      </w:r>
      <w:r>
        <w:rPr>
          <w:rFonts w:hint="eastAsia" w:ascii="仿宋_GB2312" w:hAnsi="Times New Roman" w:eastAsia="仿宋_GB2312" w:cs="Times New Roman"/>
          <w:snapToGrid w:val="0"/>
          <w:color w:val="000000"/>
          <w:spacing w:val="2"/>
          <w:kern w:val="0"/>
          <w:sz w:val="28"/>
          <w:szCs w:val="28"/>
          <w:lang w:eastAsia="zh-CN"/>
          <w14:ligatures w14:val="standardContextual"/>
        </w:rPr>
        <w:t>具备一定的信息技术应用与创新实践能力，能够根据幼儿园保育教育的实际需要，合理运用数字化资源及相关技术，改进活动设计、教育材料和支持方式。</w:t>
      </w:r>
    </w:p>
    <w:p w14:paraId="1509920F">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r>
        <w:rPr>
          <w:rFonts w:hint="default" w:ascii="仿宋_GB2312" w:hAnsi="Times New Roman" w:eastAsia="仿宋_GB2312" w:cs="Times New Roman"/>
          <w:snapToGrid w:val="0"/>
          <w:color w:val="000000"/>
          <w:spacing w:val="2"/>
          <w:kern w:val="0"/>
          <w:sz w:val="28"/>
          <w:szCs w:val="28"/>
          <w:lang w:val="en-US" w:eastAsia="zh-CN"/>
          <w14:ligatures w14:val="standardContextual"/>
        </w:rPr>
        <w:t>15.</w:t>
      </w:r>
      <w:r>
        <w:rPr>
          <w:rFonts w:hint="eastAsia" w:ascii="仿宋_GB2312" w:hAnsi="Times New Roman" w:eastAsia="仿宋_GB2312" w:cs="Times New Roman"/>
          <w:snapToGrid w:val="0"/>
          <w:color w:val="000000"/>
          <w:spacing w:val="2"/>
          <w:kern w:val="0"/>
          <w:sz w:val="28"/>
          <w:szCs w:val="28"/>
          <w:lang w:eastAsia="zh-CN"/>
          <w14:ligatures w14:val="standardContextual"/>
        </w:rPr>
        <w:t>具有良好的专业讲解、沟通协调与团队合作能力，能够根据竞赛任务合理分工、规范操作、协同配合，共同完成幼儿行为分析、专业技能展示及实际问题解决等任务。</w:t>
      </w:r>
    </w:p>
    <w:p w14:paraId="03929114">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p>
    <w:p w14:paraId="11F4C350">
      <w:pPr>
        <w:widowControl/>
        <w:kinsoku/>
        <w:overflowPunct w:val="0"/>
        <w:autoSpaceDE w:val="0"/>
        <w:autoSpaceDN w:val="0"/>
        <w:adjustRightInd w:val="0"/>
        <w:snapToGrid w:val="0"/>
        <w:spacing w:line="540" w:lineRule="exact"/>
        <w:ind w:firstLine="568" w:firstLineChars="200"/>
        <w:jc w:val="both"/>
        <w:textAlignment w:val="baseline"/>
        <w:rPr>
          <w:rFonts w:hint="eastAsia" w:ascii="仿宋_GB2312" w:hAnsi="Times New Roman" w:eastAsia="仿宋_GB2312" w:cs="Times New Roman"/>
          <w:snapToGrid w:val="0"/>
          <w:color w:val="000000"/>
          <w:spacing w:val="2"/>
          <w:kern w:val="0"/>
          <w:sz w:val="28"/>
          <w:szCs w:val="28"/>
          <w:lang w:eastAsia="zh-CN"/>
          <w14:ligatures w14:val="standardContextual"/>
        </w:rPr>
      </w:pPr>
    </w:p>
    <w:p w14:paraId="0FB32945">
      <w:bookmarkStart w:id="36" w:name="_GoBack"/>
      <w:bookmarkEnd w:id="36"/>
    </w:p>
    <w:sectPr>
      <w:footerReference r:id="rId3" w:type="default"/>
      <w:footerReference r:id="rId4" w:type="even"/>
      <w:pgSz w:w="11906" w:h="16838"/>
      <w:pgMar w:top="2098" w:right="1474" w:bottom="1985" w:left="1588"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等线 Light">
    <w:altName w:val="汉仪中等线KW"/>
    <w:panose1 w:val="02010600030101010101"/>
    <w:charset w:val="86"/>
    <w:family w:val="auto"/>
    <w:pitch w:val="default"/>
    <w:sig w:usb0="00000000" w:usb1="00000000" w:usb2="00000016" w:usb3="00000000" w:csb0="0004000F" w:csb1="00000000"/>
  </w:font>
  <w:font w:name="仿宋">
    <w:altName w:val="仿宋-简"/>
    <w:panose1 w:val="02010609060101010101"/>
    <w:charset w:val="86"/>
    <w:family w:val="modern"/>
    <w:pitch w:val="default"/>
    <w:sig w:usb0="00000000" w:usb1="00000000"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altName w:val="汉仪楷体简"/>
    <w:panose1 w:val="02010609030101010101"/>
    <w:charset w:val="86"/>
    <w:family w:val="modern"/>
    <w:pitch w:val="default"/>
    <w:sig w:usb0="00000000" w:usb1="00000000" w:usb2="00000010" w:usb3="00000000" w:csb0="00040000" w:csb1="00000000"/>
  </w:font>
  <w:font w:name="楷体">
    <w:altName w:val="汉仪楷体KW"/>
    <w:panose1 w:val="02010609060101010101"/>
    <w:charset w:val="86"/>
    <w:family w:val="modern"/>
    <w:pitch w:val="default"/>
    <w:sig w:usb0="00000000" w:usb1="00000000"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汉仪楷体简">
    <w:panose1 w:val="02010600000101010101"/>
    <w:charset w:val="86"/>
    <w:family w:val="auto"/>
    <w:pitch w:val="default"/>
    <w:sig w:usb0="00000001" w:usb1="080E0800" w:usb2="00000002" w:usb3="00000000" w:csb0="00040000" w:csb1="00000000"/>
  </w:font>
  <w:font w:name="仿宋-简">
    <w:panose1 w:val="02010609060101010101"/>
    <w:charset w:val="86"/>
    <w:family w:val="auto"/>
    <w:pitch w:val="default"/>
    <w:sig w:usb0="A00002BF" w:usb1="3A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9D533">
    <w:pPr>
      <w:tabs>
        <w:tab w:val="center" w:pos="4153"/>
        <w:tab w:val="right" w:pos="8306"/>
      </w:tabs>
      <w:kinsoku w:val="0"/>
      <w:autoSpaceDE w:val="0"/>
      <w:autoSpaceDN w:val="0"/>
      <w:adjustRightInd w:val="0"/>
      <w:snapToGrid w:val="0"/>
      <w:jc w:val="right"/>
      <w:textAlignment w:val="baseline"/>
      <w:rPr>
        <w:rFonts w:hint="eastAsia" w:ascii="Arial" w:hAnsi="Arial" w:eastAsia="Arial" w:cs="Arial"/>
        <w:snapToGrid w:val="0"/>
        <w:color w:val="000000"/>
        <w:kern w:val="0"/>
        <w:sz w:val="18"/>
        <w:szCs w:val="18"/>
        <w:lang w:val="en-US" w:eastAsia="en-US" w:bidi="ar-SA"/>
        <w14:ligatures w14:val="standardContextual"/>
      </w:rPr>
    </w:pPr>
    <w:r>
      <w:rPr>
        <w:rFonts w:ascii="Arial" w:hAnsi="Arial" w:eastAsia="Arial" w:cs="Arial"/>
        <w:snapToGrid w:val="0"/>
        <w:color w:val="000000"/>
        <w:kern w:val="0"/>
        <w:sz w:val="18"/>
        <w:szCs w:val="18"/>
        <w:lang w:val="en-US" w:eastAsia="en-US" w:bidi="ar-SA"/>
        <w14:ligatures w14:val="standardContextual"/>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eastAsia="Arial" w:cs="Arial"/>
                              <w:snapToGrid w:val="0"/>
                              <w:color w:val="000000"/>
                              <w:kern w:val="0"/>
                              <w:sz w:val="21"/>
                              <w:szCs w:val="21"/>
                              <w:lang w:val="en-US" w:eastAsia="en-US" w:bidi="ar-SA"/>
                              <w14:ligatures w14:val="standardContextual"/>
                            </w:rPr>
                            <w:id w:val="945789518"/>
                            <w:docPartObj>
                              <w:docPartGallery w:val="autotext"/>
                            </w:docPartObj>
                          </w:sdtPr>
                          <w:sdtEndPr>
                            <w:rPr>
                              <w:rFonts w:ascii="Arial" w:hAnsi="Arial" w:eastAsia="Arial" w:cs="Arial"/>
                              <w:snapToGrid w:val="0"/>
                              <w:color w:val="000000"/>
                              <w:kern w:val="0"/>
                              <w:sz w:val="18"/>
                              <w:szCs w:val="18"/>
                              <w:lang w:val="en-US" w:eastAsia="en-US" w:bidi="ar-SA"/>
                              <w14:ligatures w14:val="standardContextual"/>
                            </w:rPr>
                          </w:sdtEndPr>
                          <w:sdtContent>
                            <w:p w14:paraId="417A3CD2">
                              <w:pPr>
                                <w:tabs>
                                  <w:tab w:val="center" w:pos="4153"/>
                                  <w:tab w:val="right" w:pos="8306"/>
                                </w:tabs>
                                <w:kinsoku w:val="0"/>
                                <w:autoSpaceDE w:val="0"/>
                                <w:autoSpaceDN w:val="0"/>
                                <w:adjustRightInd w:val="0"/>
                                <w:snapToGrid w:val="0"/>
                                <w:jc w:val="right"/>
                                <w:textAlignment w:val="baseline"/>
                                <w:rPr>
                                  <w:rFonts w:ascii="Arial" w:hAnsi="Arial" w:eastAsia="Arial" w:cs="Arial"/>
                                  <w:snapToGrid w:val="0"/>
                                  <w:color w:val="000000"/>
                                  <w:kern w:val="0"/>
                                  <w:sz w:val="18"/>
                                  <w:szCs w:val="18"/>
                                  <w:lang w:val="en-US" w:eastAsia="en-US" w:bidi="ar-SA"/>
                                  <w14:ligatures w14:val="standardContextual"/>
                                </w:rPr>
                              </w:pP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begin"/>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instrText xml:space="preserve">PAGE   \* MERGEFORMAT</w:instrTex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separate"/>
                              </w:r>
                              <w:r>
                                <w:rPr>
                                  <w:rFonts w:hint="eastAsia" w:ascii="方正仿宋_GB2312" w:hAnsi="方正仿宋_GB2312" w:eastAsia="方正仿宋_GB2312" w:cs="方正仿宋_GB2312"/>
                                  <w:snapToGrid w:val="0"/>
                                  <w:color w:val="000000"/>
                                  <w:kern w:val="0"/>
                                  <w:sz w:val="24"/>
                                  <w:szCs w:val="24"/>
                                  <w:lang w:val="zh-CN" w:eastAsia="zh-CN" w:bidi="ar-SA"/>
                                  <w14:ligatures w14:val="standardContextual"/>
                                </w:rPr>
                                <w:t>2</w: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end"/>
                              </w:r>
                            </w:p>
                          </w:sdtContent>
                        </w:sdt>
                        <w:p w14:paraId="582D8F3E">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14:ligatures w14:val="standardContextual"/>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sdt>
                    <w:sdtPr>
                      <w:rPr>
                        <w:rFonts w:ascii="Arial" w:hAnsi="Arial" w:eastAsia="Arial" w:cs="Arial"/>
                        <w:snapToGrid w:val="0"/>
                        <w:color w:val="000000"/>
                        <w:kern w:val="0"/>
                        <w:sz w:val="21"/>
                        <w:szCs w:val="21"/>
                        <w:lang w:val="en-US" w:eastAsia="en-US" w:bidi="ar-SA"/>
                        <w14:ligatures w14:val="standardContextual"/>
                      </w:rPr>
                      <w:id w:val="945789518"/>
                      <w:docPartObj>
                        <w:docPartGallery w:val="autotext"/>
                      </w:docPartObj>
                    </w:sdtPr>
                    <w:sdtEndPr>
                      <w:rPr>
                        <w:rFonts w:ascii="Arial" w:hAnsi="Arial" w:eastAsia="Arial" w:cs="Arial"/>
                        <w:snapToGrid w:val="0"/>
                        <w:color w:val="000000"/>
                        <w:kern w:val="0"/>
                        <w:sz w:val="18"/>
                        <w:szCs w:val="18"/>
                        <w:lang w:val="en-US" w:eastAsia="en-US" w:bidi="ar-SA"/>
                        <w14:ligatures w14:val="standardContextual"/>
                      </w:rPr>
                    </w:sdtEndPr>
                    <w:sdtContent>
                      <w:p w14:paraId="417A3CD2">
                        <w:pPr>
                          <w:tabs>
                            <w:tab w:val="center" w:pos="4153"/>
                            <w:tab w:val="right" w:pos="8306"/>
                          </w:tabs>
                          <w:kinsoku w:val="0"/>
                          <w:autoSpaceDE w:val="0"/>
                          <w:autoSpaceDN w:val="0"/>
                          <w:adjustRightInd w:val="0"/>
                          <w:snapToGrid w:val="0"/>
                          <w:jc w:val="right"/>
                          <w:textAlignment w:val="baseline"/>
                          <w:rPr>
                            <w:rFonts w:ascii="Arial" w:hAnsi="Arial" w:eastAsia="Arial" w:cs="Arial"/>
                            <w:snapToGrid w:val="0"/>
                            <w:color w:val="000000"/>
                            <w:kern w:val="0"/>
                            <w:sz w:val="18"/>
                            <w:szCs w:val="18"/>
                            <w:lang w:val="en-US" w:eastAsia="en-US" w:bidi="ar-SA"/>
                            <w14:ligatures w14:val="standardContextual"/>
                          </w:rPr>
                        </w:pP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begin"/>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instrText xml:space="preserve">PAGE   \* MERGEFORMAT</w:instrTex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separate"/>
                        </w:r>
                        <w:r>
                          <w:rPr>
                            <w:rFonts w:hint="eastAsia" w:ascii="方正仿宋_GB2312" w:hAnsi="方正仿宋_GB2312" w:eastAsia="方正仿宋_GB2312" w:cs="方正仿宋_GB2312"/>
                            <w:snapToGrid w:val="0"/>
                            <w:color w:val="000000"/>
                            <w:kern w:val="0"/>
                            <w:sz w:val="24"/>
                            <w:szCs w:val="24"/>
                            <w:lang w:val="zh-CN" w:eastAsia="zh-CN" w:bidi="ar-SA"/>
                            <w14:ligatures w14:val="standardContextual"/>
                          </w:rPr>
                          <w:t>2</w: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end"/>
                        </w:r>
                      </w:p>
                    </w:sdtContent>
                  </w:sdt>
                  <w:p w14:paraId="582D8F3E">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14:ligatures w14:val="standardContextual"/>
                      </w:rPr>
                    </w:pPr>
                  </w:p>
                </w:txbxContent>
              </v:textbox>
            </v:shape>
          </w:pict>
        </mc:Fallback>
      </mc:AlternateContent>
    </w:r>
  </w:p>
  <w:p w14:paraId="5B6B9153">
    <w:pPr>
      <w:tabs>
        <w:tab w:val="center" w:pos="4153"/>
        <w:tab w:val="right" w:pos="8306"/>
      </w:tabs>
      <w:kinsoku w:val="0"/>
      <w:autoSpaceDE w:val="0"/>
      <w:autoSpaceDN w:val="0"/>
      <w:adjustRightInd w:val="0"/>
      <w:snapToGrid w:val="0"/>
      <w:textAlignment w:val="baseline"/>
      <w:rPr>
        <w:rFonts w:hint="eastAsia" w:ascii="Arial" w:hAnsi="Arial" w:eastAsia="Arial" w:cs="Arial"/>
        <w:snapToGrid w:val="0"/>
        <w:color w:val="000000"/>
        <w:kern w:val="0"/>
        <w:sz w:val="18"/>
        <w:szCs w:val="18"/>
        <w:lang w:val="en-US" w:eastAsia="en-US" w:bidi="ar-SA"/>
        <w14:ligatures w14:val="standardContextu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CC11A">
    <w:pPr>
      <w:tabs>
        <w:tab w:val="center" w:pos="4153"/>
        <w:tab w:val="right" w:pos="8306"/>
      </w:tabs>
      <w:kinsoku w:val="0"/>
      <w:autoSpaceDE w:val="0"/>
      <w:autoSpaceDN w:val="0"/>
      <w:adjustRightInd w:val="0"/>
      <w:snapToGrid w:val="0"/>
      <w:textAlignment w:val="baseline"/>
      <w:rPr>
        <w:rFonts w:hint="eastAsia" w:ascii="Arial" w:hAnsi="Arial" w:eastAsia="Arial" w:cs="Arial"/>
        <w:snapToGrid w:val="0"/>
        <w:color w:val="000000"/>
        <w:kern w:val="0"/>
        <w:sz w:val="18"/>
        <w:szCs w:val="18"/>
        <w:lang w:val="en-US" w:eastAsia="en-US" w:bidi="ar-SA"/>
        <w14:ligatures w14:val="standardContextual"/>
      </w:rPr>
    </w:pPr>
    <w:r>
      <w:rPr>
        <w:rFonts w:ascii="Arial" w:hAnsi="Arial" w:eastAsia="Arial" w:cs="Arial"/>
        <w:snapToGrid w:val="0"/>
        <w:color w:val="000000"/>
        <w:kern w:val="0"/>
        <w:sz w:val="18"/>
        <w:szCs w:val="18"/>
        <w:lang w:val="en-US" w:eastAsia="en-US" w:bidi="ar-SA"/>
        <w14:ligatures w14:val="standardContextual"/>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eastAsia="Arial" w:cs="Arial"/>
                              <w:snapToGrid w:val="0"/>
                              <w:color w:val="000000"/>
                              <w:kern w:val="0"/>
                              <w:sz w:val="21"/>
                              <w:szCs w:val="21"/>
                              <w:lang w:val="en-US" w:eastAsia="en-US" w:bidi="ar-SA"/>
                              <w14:ligatures w14:val="standardContextual"/>
                            </w:rPr>
                            <w:id w:val="3452510"/>
                            <w:docPartObj>
                              <w:docPartGallery w:val="autotext"/>
                            </w:docPartObj>
                          </w:sdtPr>
                          <w:sdtEndPr>
                            <w:rPr>
                              <w:rFonts w:ascii="Arial" w:hAnsi="Arial" w:eastAsia="Arial" w:cs="Arial"/>
                              <w:snapToGrid w:val="0"/>
                              <w:color w:val="000000"/>
                              <w:kern w:val="0"/>
                              <w:sz w:val="18"/>
                              <w:szCs w:val="18"/>
                              <w:lang w:val="en-US" w:eastAsia="en-US" w:bidi="ar-SA"/>
                              <w14:ligatures w14:val="standardContextual"/>
                            </w:rPr>
                          </w:sdtEndPr>
                          <w:sdtContent>
                            <w:p w14:paraId="6ECB3989">
                              <w:pPr>
                                <w:tabs>
                                  <w:tab w:val="center" w:pos="4153"/>
                                  <w:tab w:val="right" w:pos="8306"/>
                                </w:tabs>
                                <w:kinsoku w:val="0"/>
                                <w:autoSpaceDE w:val="0"/>
                                <w:autoSpaceDN w:val="0"/>
                                <w:adjustRightInd w:val="0"/>
                                <w:snapToGrid w:val="0"/>
                                <w:textAlignment w:val="baseline"/>
                                <w:rPr>
                                  <w:rFonts w:ascii="Arial" w:hAnsi="Arial" w:eastAsia="Arial" w:cs="Arial"/>
                                  <w:snapToGrid w:val="0"/>
                                  <w:color w:val="000000"/>
                                  <w:kern w:val="0"/>
                                  <w:sz w:val="18"/>
                                  <w:szCs w:val="18"/>
                                  <w:lang w:val="en-US" w:eastAsia="en-US" w:bidi="ar-SA"/>
                                  <w14:ligatures w14:val="standardContextual"/>
                                </w:rPr>
                              </w:pP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begin"/>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instrText xml:space="preserve">PAGE   \* MERGEFORMAT</w:instrTex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separate"/>
                              </w:r>
                              <w:r>
                                <w:rPr>
                                  <w:rFonts w:hint="eastAsia" w:ascii="方正仿宋_GB2312" w:hAnsi="方正仿宋_GB2312" w:eastAsia="方正仿宋_GB2312" w:cs="方正仿宋_GB2312"/>
                                  <w:snapToGrid w:val="0"/>
                                  <w:color w:val="000000"/>
                                  <w:kern w:val="0"/>
                                  <w:sz w:val="24"/>
                                  <w:szCs w:val="24"/>
                                  <w:lang w:val="zh-CN" w:eastAsia="zh-CN" w:bidi="ar-SA"/>
                                  <w14:ligatures w14:val="standardContextual"/>
                                </w:rPr>
                                <w:t>2</w: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end"/>
                              </w:r>
                            </w:p>
                          </w:sdtContent>
                        </w:sdt>
                        <w:p w14:paraId="1EFD0F0C">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14:ligatures w14:val="standardContextual"/>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sdt>
                    <w:sdtPr>
                      <w:rPr>
                        <w:rFonts w:ascii="Arial" w:hAnsi="Arial" w:eastAsia="Arial" w:cs="Arial"/>
                        <w:snapToGrid w:val="0"/>
                        <w:color w:val="000000"/>
                        <w:kern w:val="0"/>
                        <w:sz w:val="21"/>
                        <w:szCs w:val="21"/>
                        <w:lang w:val="en-US" w:eastAsia="en-US" w:bidi="ar-SA"/>
                        <w14:ligatures w14:val="standardContextual"/>
                      </w:rPr>
                      <w:id w:val="3452510"/>
                      <w:docPartObj>
                        <w:docPartGallery w:val="autotext"/>
                      </w:docPartObj>
                    </w:sdtPr>
                    <w:sdtEndPr>
                      <w:rPr>
                        <w:rFonts w:ascii="Arial" w:hAnsi="Arial" w:eastAsia="Arial" w:cs="Arial"/>
                        <w:snapToGrid w:val="0"/>
                        <w:color w:val="000000"/>
                        <w:kern w:val="0"/>
                        <w:sz w:val="18"/>
                        <w:szCs w:val="18"/>
                        <w:lang w:val="en-US" w:eastAsia="en-US" w:bidi="ar-SA"/>
                        <w14:ligatures w14:val="standardContextual"/>
                      </w:rPr>
                    </w:sdtEndPr>
                    <w:sdtContent>
                      <w:p w14:paraId="6ECB3989">
                        <w:pPr>
                          <w:tabs>
                            <w:tab w:val="center" w:pos="4153"/>
                            <w:tab w:val="right" w:pos="8306"/>
                          </w:tabs>
                          <w:kinsoku w:val="0"/>
                          <w:autoSpaceDE w:val="0"/>
                          <w:autoSpaceDN w:val="0"/>
                          <w:adjustRightInd w:val="0"/>
                          <w:snapToGrid w:val="0"/>
                          <w:textAlignment w:val="baseline"/>
                          <w:rPr>
                            <w:rFonts w:ascii="Arial" w:hAnsi="Arial" w:eastAsia="Arial" w:cs="Arial"/>
                            <w:snapToGrid w:val="0"/>
                            <w:color w:val="000000"/>
                            <w:kern w:val="0"/>
                            <w:sz w:val="18"/>
                            <w:szCs w:val="18"/>
                            <w:lang w:val="en-US" w:eastAsia="en-US" w:bidi="ar-SA"/>
                            <w14:ligatures w14:val="standardContextual"/>
                          </w:rPr>
                        </w:pP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begin"/>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instrText xml:space="preserve">PAGE   \* MERGEFORMAT</w:instrTex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separate"/>
                        </w:r>
                        <w:r>
                          <w:rPr>
                            <w:rFonts w:hint="eastAsia" w:ascii="方正仿宋_GB2312" w:hAnsi="方正仿宋_GB2312" w:eastAsia="方正仿宋_GB2312" w:cs="方正仿宋_GB2312"/>
                            <w:snapToGrid w:val="0"/>
                            <w:color w:val="000000"/>
                            <w:kern w:val="0"/>
                            <w:sz w:val="24"/>
                            <w:szCs w:val="24"/>
                            <w:lang w:val="zh-CN" w:eastAsia="zh-CN" w:bidi="ar-SA"/>
                            <w14:ligatures w14:val="standardContextual"/>
                          </w:rPr>
                          <w:t>2</w:t>
                        </w:r>
                        <w:r>
                          <w:rPr>
                            <w:rFonts w:hint="eastAsia" w:ascii="方正仿宋_GB2312" w:hAnsi="方正仿宋_GB2312" w:eastAsia="方正仿宋_GB2312" w:cs="方正仿宋_GB2312"/>
                            <w:snapToGrid w:val="0"/>
                            <w:color w:val="000000"/>
                            <w:kern w:val="0"/>
                            <w:sz w:val="24"/>
                            <w:szCs w:val="24"/>
                            <w:lang w:val="en-US" w:eastAsia="en-US" w:bidi="ar-SA"/>
                            <w14:ligatures w14:val="standardContextual"/>
                          </w:rPr>
                          <w:fldChar w:fldCharType="end"/>
                        </w:r>
                      </w:p>
                    </w:sdtContent>
                  </w:sdt>
                  <w:p w14:paraId="1EFD0F0C">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14:ligatures w14:val="standardContextual"/>
                      </w:rPr>
                    </w:pPr>
                  </w:p>
                </w:txbxContent>
              </v:textbox>
            </v:shape>
          </w:pict>
        </mc:Fallback>
      </mc:AlternateContent>
    </w:r>
  </w:p>
  <w:p w14:paraId="76A681C8">
    <w:pPr>
      <w:tabs>
        <w:tab w:val="center" w:pos="4153"/>
        <w:tab w:val="right" w:pos="8306"/>
      </w:tabs>
      <w:kinsoku w:val="0"/>
      <w:autoSpaceDE w:val="0"/>
      <w:autoSpaceDN w:val="0"/>
      <w:adjustRightInd w:val="0"/>
      <w:snapToGrid w:val="0"/>
      <w:textAlignment w:val="baseline"/>
      <w:rPr>
        <w:rFonts w:ascii="Arial" w:hAnsi="Arial" w:eastAsia="Arial" w:cs="Arial"/>
        <w:snapToGrid w:val="0"/>
        <w:color w:val="000000"/>
        <w:kern w:val="0"/>
        <w:sz w:val="18"/>
        <w:szCs w:val="18"/>
        <w:lang w:val="en-US" w:eastAsia="en-US" w:bidi="ar-SA"/>
        <w14:ligatures w14:val="standardContextual"/>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FDF657"/>
    <w:multiLevelType w:val="singleLevel"/>
    <w:tmpl w:val="BBFDF657"/>
    <w:lvl w:ilvl="0" w:tentative="0">
      <w:start w:val="1"/>
      <w:numFmt w:val="decimal"/>
      <w:lvlText w:val="%1."/>
      <w:lvlJc w:val="left"/>
      <w:pPr>
        <w:tabs>
          <w:tab w:val="left" w:pos="312"/>
        </w:tabs>
      </w:pPr>
    </w:lvl>
  </w:abstractNum>
  <w:abstractNum w:abstractNumId="1">
    <w:nsid w:val="E79BAE9F"/>
    <w:multiLevelType w:val="singleLevel"/>
    <w:tmpl w:val="E79BAE9F"/>
    <w:lvl w:ilvl="0" w:tentative="0">
      <w:start w:val="1"/>
      <w:numFmt w:val="decimal"/>
      <w:lvlText w:val="%1."/>
      <w:lvlJc w:val="left"/>
      <w:pPr>
        <w:tabs>
          <w:tab w:val="left" w:pos="312"/>
        </w:tabs>
      </w:pPr>
    </w:lvl>
  </w:abstractNum>
  <w:abstractNum w:abstractNumId="2">
    <w:nsid w:val="EE76B256"/>
    <w:multiLevelType w:val="singleLevel"/>
    <w:tmpl w:val="EE76B256"/>
    <w:lvl w:ilvl="0" w:tentative="0">
      <w:start w:val="1"/>
      <w:numFmt w:val="decimal"/>
      <w:suff w:val="space"/>
      <w:lvlText w:val="%1."/>
      <w:lvlJc w:val="left"/>
    </w:lvl>
  </w:abstractNum>
  <w:abstractNum w:abstractNumId="3">
    <w:nsid w:val="FDEF35C4"/>
    <w:multiLevelType w:val="singleLevel"/>
    <w:tmpl w:val="FDEF35C4"/>
    <w:lvl w:ilvl="0" w:tentative="0">
      <w:start w:val="2"/>
      <w:numFmt w:val="decimal"/>
      <w:lvlText w:val="%1."/>
      <w:lvlJc w:val="left"/>
      <w:pPr>
        <w:tabs>
          <w:tab w:val="left" w:pos="312"/>
        </w:tabs>
      </w:pPr>
    </w:lvl>
  </w:abstractNum>
  <w:abstractNum w:abstractNumId="4">
    <w:nsid w:val="2BF7C6D2"/>
    <w:multiLevelType w:val="singleLevel"/>
    <w:tmpl w:val="2BF7C6D2"/>
    <w:lvl w:ilvl="0" w:tentative="0">
      <w:start w:val="1"/>
      <w:numFmt w:val="decimal"/>
      <w:lvlText w:val="%1."/>
      <w:lvlJc w:val="left"/>
      <w:pPr>
        <w:tabs>
          <w:tab w:val="left" w:pos="312"/>
        </w:tabs>
      </w:pPr>
    </w:lvl>
  </w:abstractNum>
  <w:abstractNum w:abstractNumId="5">
    <w:nsid w:val="6FBF9B4B"/>
    <w:multiLevelType w:val="singleLevel"/>
    <w:tmpl w:val="6FBF9B4B"/>
    <w:lvl w:ilvl="0" w:tentative="0">
      <w:start w:val="1"/>
      <w:numFmt w:val="decimal"/>
      <w:lvlText w:val="%1."/>
      <w:lvlJc w:val="left"/>
      <w:pPr>
        <w:tabs>
          <w:tab w:val="left" w:pos="312"/>
        </w:tabs>
      </w:pPr>
    </w:lvl>
  </w:abstractNum>
  <w:abstractNum w:abstractNumId="6">
    <w:nsid w:val="77E27A32"/>
    <w:multiLevelType w:val="singleLevel"/>
    <w:tmpl w:val="77E27A32"/>
    <w:lvl w:ilvl="0" w:tentative="0">
      <w:start w:val="1"/>
      <w:numFmt w:val="chineseCounting"/>
      <w:suff w:val="nothing"/>
      <w:lvlText w:val="%1、"/>
      <w:lvlJc w:val="left"/>
      <w:rPr>
        <w:rFonts w:hint="eastAsia"/>
      </w:rPr>
    </w:lvl>
  </w:abstractNum>
  <w:num w:numId="1">
    <w:abstractNumId w:val="6"/>
  </w:num>
  <w:num w:numId="2">
    <w:abstractNumId w:val="5"/>
  </w:num>
  <w:num w:numId="3">
    <w:abstractNumId w:val="1"/>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F8ABE"/>
    <w:rsid w:val="FFDF8A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table" w:customStyle="1" w:styleId="5">
    <w:name w:val="Table Normal"/>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2026-10-23T16:51:00Z</dcterms:created>
  <dc:creator>忘了吧</dc:creator>
  <cp:lastModifiedBy>忘了吧</cp:lastModifiedBy>
  <dcterms:modified xsi:type="dcterms:W3CDTF">2026-10-23T16:52:12Z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621FA792B2DA5FEE1820DB6A68DD0CD9_41</vt:lpwstr>
  </property>
</Properties>
</file>