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黑体" w:hAnsi="黑体" w:eastAsia="黑体" w:cs="黑体"/>
          <w:b/>
          <w:sz w:val="36"/>
          <w:szCs w:val="36"/>
        </w:rPr>
      </w:pPr>
      <w:r>
        <w:rPr>
          <w:rFonts w:hint="eastAsia" w:ascii="黑体" w:hAnsi="黑体" w:eastAsia="黑体" w:cs="黑体"/>
          <w:b/>
          <w:sz w:val="36"/>
          <w:szCs w:val="36"/>
        </w:rPr>
        <w:t>2019年海南省高职院校技能大赛</w:t>
      </w:r>
    </w:p>
    <w:p>
      <w:pPr>
        <w:snapToGrid w:val="0"/>
        <w:spacing w:line="540" w:lineRule="exact"/>
        <w:jc w:val="center"/>
        <w:rPr>
          <w:rFonts w:ascii="黑体" w:hAnsi="黑体" w:eastAsia="黑体" w:cs="黑体"/>
          <w:b/>
          <w:sz w:val="36"/>
          <w:szCs w:val="36"/>
        </w:rPr>
      </w:pPr>
      <w:r>
        <w:rPr>
          <w:rFonts w:hint="eastAsia" w:ascii="黑体" w:hAnsi="黑体" w:eastAsia="黑体" w:cs="黑体"/>
          <w:b/>
          <w:sz w:val="36"/>
          <w:szCs w:val="36"/>
        </w:rPr>
        <w:t>赛项规程</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一、赛项名称</w:t>
      </w:r>
    </w:p>
    <w:p>
      <w:pPr>
        <w:widowControl/>
        <w:ind w:firstLine="560" w:firstLineChars="200"/>
        <w:jc w:val="left"/>
        <w:rPr>
          <w:rFonts w:ascii="仿宋_GB2312" w:hAnsi="仿宋" w:eastAsia="仿宋_GB2312"/>
          <w:kern w:val="0"/>
          <w:sz w:val="28"/>
          <w:szCs w:val="28"/>
        </w:rPr>
      </w:pPr>
      <w:r>
        <w:rPr>
          <w:rFonts w:hint="eastAsia" w:ascii="仿宋_GB2312" w:hAnsi="仿宋" w:eastAsia="仿宋_GB2312"/>
          <w:kern w:val="0"/>
          <w:sz w:val="28"/>
          <w:szCs w:val="28"/>
        </w:rPr>
        <w:t>赛项名称：虚拟现实（VR） 设计与创作</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赛项组别：高职组</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赛项归属：电子信息</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二、竞赛目的</w:t>
      </w:r>
    </w:p>
    <w:p>
      <w:pPr>
        <w:pStyle w:val="5"/>
        <w:shd w:val="clear" w:color="auto" w:fill="FFFFFF"/>
        <w:spacing w:before="0" w:beforeAutospacing="0" w:after="0" w:afterAutospacing="0" w:line="560" w:lineRule="exact"/>
        <w:ind w:firstLine="561" w:firstLineChars="200"/>
        <w:jc w:val="both"/>
        <w:rPr>
          <w:rFonts w:ascii="仿宋_GB2312" w:hAnsi="仿宋" w:eastAsia="仿宋_GB2312"/>
          <w:bCs/>
          <w:sz w:val="28"/>
          <w:szCs w:val="28"/>
        </w:rPr>
      </w:pPr>
      <w:r>
        <w:rPr>
          <w:rFonts w:hint="eastAsia" w:ascii="仿宋_GB2312" w:hAnsi="仿宋" w:eastAsia="仿宋_GB2312"/>
          <w:b/>
          <w:sz w:val="28"/>
          <w:szCs w:val="28"/>
        </w:rPr>
        <w:t>引领专业建设与课程改革。</w:t>
      </w:r>
      <w:r>
        <w:rPr>
          <w:rFonts w:hint="eastAsia" w:ascii="仿宋_GB2312" w:hAnsi="仿宋" w:eastAsia="仿宋_GB2312"/>
          <w:bCs/>
          <w:sz w:val="28"/>
          <w:szCs w:val="28"/>
        </w:rPr>
        <w:t>目前，国内部分高职学校已陆续开展面向虚拟现实技术的专业课程改革，课程主要集中在VR建模、VR模型动画制作、使用编辑器制作VR项目等方面。通过本赛项的设立，将进一步加强虚拟现实相关专业方向在高职学校的普及，引导高职虚拟现实专业方向设置，促进人才培养方案制定、课程体系构建、“双师型”师资队伍建设、VR教学平台和资源平台建设、实验室和实训基地建设等，提升学生服务社会和行业发展的能力。同时以本赛项为抓手，让已经开设虚拟现实专业方向的高职学校成为示范，引领并支持更多高职学校建设虚拟现实相关专业。</w:t>
      </w:r>
    </w:p>
    <w:p>
      <w:pPr>
        <w:pStyle w:val="5"/>
        <w:shd w:val="clear" w:color="auto" w:fill="FFFFFF"/>
        <w:spacing w:before="0" w:beforeAutospacing="0" w:after="0" w:afterAutospacing="0" w:line="560" w:lineRule="exact"/>
        <w:ind w:firstLine="561" w:firstLineChars="200"/>
        <w:jc w:val="both"/>
        <w:rPr>
          <w:rFonts w:ascii="仿宋_GB2312" w:hAnsi="仿宋" w:eastAsia="仿宋_GB2312"/>
          <w:sz w:val="28"/>
          <w:szCs w:val="28"/>
        </w:rPr>
      </w:pPr>
      <w:r>
        <w:rPr>
          <w:rFonts w:hint="eastAsia" w:ascii="仿宋_GB2312" w:hAnsi="仿宋" w:eastAsia="仿宋_GB2312"/>
          <w:b/>
          <w:sz w:val="28"/>
          <w:szCs w:val="28"/>
        </w:rPr>
        <w:t>促进产教融合、校企合作与产业发展。</w:t>
      </w:r>
      <w:r>
        <w:rPr>
          <w:rFonts w:hint="eastAsia" w:ascii="仿宋_GB2312" w:hAnsi="仿宋" w:eastAsia="仿宋_GB2312"/>
          <w:sz w:val="28"/>
          <w:szCs w:val="28"/>
        </w:rPr>
        <w:t>对于职业院校而言，尤其是对于高职学校，需要结合学校、老师、学生特点，有针对性的培养国家战略和社会急需的新型专业人才。本赛项围绕虚拟现实产业链的关键环节，结合高职学校的特点，将企业中成熟应用的虚拟现实关键技术（必须是高职学校师生可以接受的）进行教学化转化，促进产教融合，建设基于岗位的VR实训、实验、体验、教学、培训、展示环境。同时，通过赛项资源转化，积累一批高质量的教材、实训指导书、项目案例等资源，实现以赛促教、以赛促学、以赛促改。</w:t>
      </w:r>
    </w:p>
    <w:p>
      <w:pPr>
        <w:pStyle w:val="5"/>
        <w:shd w:val="clear" w:color="auto" w:fill="FFFFFF"/>
        <w:spacing w:before="0" w:beforeAutospacing="0" w:after="0" w:afterAutospacing="0" w:line="560" w:lineRule="exact"/>
        <w:ind w:firstLine="561" w:firstLineChars="200"/>
        <w:jc w:val="both"/>
        <w:rPr>
          <w:rFonts w:ascii="仿宋_GB2312" w:hAnsi="仿宋" w:eastAsia="仿宋_GB2312"/>
          <w:sz w:val="28"/>
          <w:szCs w:val="28"/>
        </w:rPr>
      </w:pPr>
      <w:r>
        <w:rPr>
          <w:rFonts w:hint="eastAsia" w:ascii="仿宋_GB2312" w:hAnsi="仿宋" w:eastAsia="仿宋_GB2312"/>
          <w:b/>
          <w:sz w:val="28"/>
          <w:szCs w:val="28"/>
        </w:rPr>
        <w:t>展示职教改革成果与师生良好精神风貌。</w:t>
      </w:r>
      <w:r>
        <w:rPr>
          <w:rFonts w:hint="eastAsia" w:ascii="仿宋_GB2312" w:hAnsi="仿宋" w:eastAsia="仿宋_GB2312"/>
          <w:sz w:val="28"/>
          <w:szCs w:val="28"/>
        </w:rPr>
        <w:t>本次大赛将通过举办一系列的相关活动，如虚拟现实专业研讨会、虚拟现实项目交流会、虚拟现实众创项目扶持、科学合理的大赛设置、国际化的办赛的方式、丰富多彩的同期活动的举办充分展示职教改革成果以及师生精神面貌。</w:t>
      </w:r>
    </w:p>
    <w:p>
      <w:pPr>
        <w:widowControl/>
        <w:spacing w:line="560" w:lineRule="exact"/>
        <w:ind w:firstLine="561" w:firstLineChars="200"/>
        <w:outlineLvl w:val="0"/>
        <w:rPr>
          <w:rFonts w:hint="eastAsia" w:ascii="仿宋_GB2312" w:hAnsi="仿宋" w:eastAsia="仿宋_GB2312"/>
          <w:b/>
          <w:kern w:val="0"/>
          <w:sz w:val="28"/>
          <w:szCs w:val="28"/>
        </w:rPr>
      </w:pPr>
      <w:r>
        <w:rPr>
          <w:rFonts w:hint="eastAsia" w:ascii="仿宋_GB2312" w:hAnsi="仿宋" w:eastAsia="仿宋_GB2312"/>
          <w:b/>
          <w:kern w:val="0"/>
          <w:sz w:val="28"/>
          <w:szCs w:val="28"/>
        </w:rPr>
        <w:t>三、竞赛内容</w:t>
      </w:r>
    </w:p>
    <w:p>
      <w:pPr>
        <w:widowControl/>
        <w:spacing w:line="560" w:lineRule="exact"/>
        <w:ind w:firstLine="561" w:firstLineChars="200"/>
        <w:outlineLvl w:val="0"/>
        <w:rPr>
          <w:rFonts w:hint="eastAsia" w:ascii="仿宋_GB2312" w:hAnsi="仿宋" w:eastAsia="仿宋_GB2312" w:cs="宋体"/>
          <w:b/>
          <w:kern w:val="0"/>
          <w:sz w:val="28"/>
          <w:szCs w:val="28"/>
        </w:rPr>
      </w:pPr>
      <w:r>
        <w:rPr>
          <w:rFonts w:hint="eastAsia" w:ascii="仿宋_GB2312" w:hAnsi="仿宋" w:eastAsia="仿宋_GB2312" w:cs="宋体"/>
          <w:b/>
          <w:kern w:val="0"/>
          <w:sz w:val="28"/>
          <w:szCs w:val="28"/>
        </w:rPr>
        <w:t>（一）竞赛考核内容</w:t>
      </w:r>
    </w:p>
    <w:p>
      <w:pPr>
        <w:widowControl/>
        <w:spacing w:line="560" w:lineRule="exact"/>
        <w:ind w:firstLine="560" w:firstLineChars="200"/>
        <w:outlineLvl w:val="0"/>
        <w:rPr>
          <w:rFonts w:hint="eastAsia" w:ascii="仿宋_GB2312" w:hAnsi="仿宋" w:eastAsia="仿宋_GB2312"/>
          <w:b/>
          <w:kern w:val="0"/>
          <w:sz w:val="28"/>
          <w:szCs w:val="28"/>
        </w:rPr>
      </w:pPr>
      <w:r>
        <w:rPr>
          <w:rFonts w:hint="eastAsia" w:ascii="仿宋_GB2312" w:hAnsi="仿宋" w:eastAsia="仿宋_GB2312" w:cs="宋体"/>
          <w:kern w:val="0"/>
          <w:sz w:val="28"/>
          <w:szCs w:val="28"/>
        </w:rPr>
        <w:t>竞赛考核内容共有四</w:t>
      </w:r>
      <w:r>
        <w:rPr>
          <w:rFonts w:hint="eastAsia" w:ascii="仿宋_GB2312" w:hAnsi="仿宋" w:eastAsia="仿宋_GB2312"/>
          <w:sz w:val="28"/>
          <w:szCs w:val="28"/>
        </w:rPr>
        <w:t>个：</w:t>
      </w:r>
      <w:r>
        <w:rPr>
          <w:rFonts w:hint="eastAsia" w:ascii="仿宋_GB2312" w:hAnsi="仿宋" w:eastAsia="仿宋_GB2312" w:cs="宋体"/>
          <w:kern w:val="0"/>
          <w:sz w:val="28"/>
          <w:szCs w:val="28"/>
        </w:rPr>
        <w:t>教学设计、VR内容设计、VR制作技能、</w:t>
      </w:r>
      <w:r>
        <w:rPr>
          <w:rFonts w:hint="eastAsia" w:ascii="仿宋_GB2312" w:hAnsi="仿宋" w:eastAsia="仿宋_GB2312"/>
          <w:sz w:val="28"/>
          <w:szCs w:val="28"/>
        </w:rPr>
        <w:t>职业素养</w:t>
      </w:r>
      <w:r>
        <w:rPr>
          <w:rFonts w:hint="eastAsia" w:ascii="仿宋_GB2312" w:hAnsi="仿宋" w:eastAsia="仿宋_GB2312" w:cs="宋体"/>
          <w:kern w:val="0"/>
          <w:sz w:val="28"/>
          <w:szCs w:val="28"/>
        </w:rPr>
        <w:t>。</w:t>
      </w:r>
    </w:p>
    <w:p>
      <w:pPr>
        <w:ind w:firstLine="420" w:firstLineChars="200"/>
        <w:rPr>
          <w:rFonts w:ascii="仿宋_GB2312" w:hAnsi="仿宋" w:eastAsia="仿宋_GB2312" w:cs="宋体"/>
          <w:kern w:val="0"/>
          <w:sz w:val="28"/>
          <w:szCs w:val="28"/>
        </w:rPr>
      </w:pPr>
      <w:r>
        <w:rPr>
          <w:rFonts w:hint="eastAsia" w:ascii="宋体" w:hAnsi="宋体" w:cs="微软雅黑"/>
        </w:rPr>
        <w:t>（</w:t>
      </w:r>
      <w:r>
        <w:rPr>
          <w:rFonts w:hint="eastAsia" w:ascii="仿宋_GB2312" w:hAnsi="仿宋" w:eastAsia="仿宋_GB2312" w:cs="宋体"/>
          <w:kern w:val="0"/>
          <w:sz w:val="28"/>
          <w:szCs w:val="28"/>
        </w:rPr>
        <w:t>1）教学设计：重点考察参赛团队合理、充分的运用虚拟现实技术，解决教学难点，突出教学重点，优化教学过程，完成教学任务的能力。</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2）VR内容设计：根据竞赛试题要求，选手需进行需求分析、目标用户分析、竞品分析和情景分析，撰写设计思路、功能交互及操作流程说明，并撰写设计文档。考察选手基于虚拟现实3I特性（交互性Interactive、沉浸感Immersive、构想性Imagination）设计产品的创意创新能力。</w:t>
      </w:r>
    </w:p>
    <w:p>
      <w:pPr>
        <w:ind w:firstLine="560" w:firstLineChars="200"/>
        <w:rPr>
          <w:rFonts w:hint="eastAsia" w:ascii="仿宋_GB2312" w:hAnsi="仿宋" w:eastAsia="仿宋_GB2312" w:cs="宋体"/>
          <w:kern w:val="0"/>
          <w:sz w:val="28"/>
          <w:szCs w:val="28"/>
        </w:rPr>
      </w:pPr>
      <w:r>
        <w:rPr>
          <w:rFonts w:hint="eastAsia" w:ascii="仿宋_GB2312" w:hAnsi="仿宋" w:eastAsia="仿宋_GB2312" w:cs="宋体"/>
          <w:kern w:val="0"/>
          <w:sz w:val="28"/>
          <w:szCs w:val="28"/>
        </w:rPr>
        <w:t>（3）VR制作技能：参赛选手根据要求制作VR交互功能并利用3ds Max、Photoshop、Maya等工具软件制作主体模型；将制作好的主体模型导入素材所提供的场景中，并对材质、环境进行虚拟现实引擎所独有的实时渲染（Real-Time Rendering），按照题目要求设计一系列交互功能，使用虚拟现实外设对作品进行演示。主要考察选手为VR场景进行3D建模的能力、对VR引擎平台应用与开发的技术能力、交互制作能力、虚拟现实外设调试能力。</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（4）职业素养：考核参赛选手在职业规范、团队协作、组织管理、工作计划、团队风貌等方面的职业素养。</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 xml:space="preserve">（二）题目要求 </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（1）本赛题作品领域包括电子信息类、机械类、服务类、建筑类、设计类、动漫类等不预先设定比赛场景，选题队伍可根据自身需要选择适当领域以及场景。</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（2）教学设计：参赛团队提交教案以及展示包括教学内容、教学方法、互动方式、考核与评价等教学设计整体环节展示ppt，充分体现VR技术在教学过程中的应用，完成教学任务。</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3）VR项目设计技术方案：编写策划文档打开赛题资源中的作品案例模板，并结合任务书要求，编写策划文档（文件格式：word）。策划文档中需要包括如下内容：策划文档必须包含模型尺寸、交互设计、UI风格、字幕和配音、示意图等这几部分的描述，特别有对“交互逻辑”的详细描述；文档中应包含适当的插图（自制、截图），有对交互内容、文字信息等的详细描述，供开发成员使用；所编写策划文档应使研发人员可以顺利读懂，通过对文档的阅读能对项目进行详细的了解，从而可以实现相应功能。</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4）VR项目内容制作：根据策划方案进行VR内容创作，主要分为以下几步：①VR内容素材准备，在赛前准备阶段，创建模型场景、材质效果、UI界面、语音说明、交互声效，并于正式比赛3天前通过邮件方式递交赛事举办方</w:t>
      </w:r>
      <w:r>
        <w:rPr>
          <w:rFonts w:ascii="仿宋_GB2312" w:hAnsi="仿宋" w:eastAsia="仿宋_GB2312" w:cs="宋体"/>
          <w:kern w:val="0"/>
          <w:sz w:val="28"/>
          <w:szCs w:val="28"/>
        </w:rPr>
        <w:t>；②VR</w:t>
      </w:r>
      <w:r>
        <w:rPr>
          <w:rFonts w:hint="eastAsia" w:ascii="仿宋_GB2312" w:hAnsi="仿宋" w:eastAsia="仿宋_GB2312" w:cs="宋体"/>
          <w:kern w:val="0"/>
          <w:sz w:val="28"/>
          <w:szCs w:val="28"/>
        </w:rPr>
        <w:t>内容现场制作：正式比赛现场，由赛事举办方将各队赛前准备素材交予参赛者，参赛者在规定时间内完成，场景搭建、交互操作编辑、运行调试、作品输出等工作，最终按策划方案完成VR项目，并将并录制5分钟左右的VR项目互动视频；③现场模型制作，正式比赛现场，由赛事举办方统一提供模型制作任务书（如赛事奖杯或其他模型要求），参赛者在规定时间完成模型、UV、贴图等制作，最终按任务书完成建模。</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（5）职业素养：考核参赛选手在职业规范、团队协作、组织管理、工作计划、团队风貌等方面的职业素养。</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（三）作品规格说明</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（1）本赛题作品形式要求格式清晰具体。</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（2）本赛题软件推荐与硬件推荐环境。</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（3）本赛题提供赛前培训，具体方案由大赛组委会另行发布。</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（四）评选标准</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（1）方案设计清晰明确。</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（2）可运行设计的原作品。</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（3）可复现运行结果。</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（4）比赛最终评分由组委会按照各参赛队伍题目要求完成程度决定。</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（5）比赛规则解释权归大赛组委会所有。</w:t>
      </w:r>
    </w:p>
    <w:p>
      <w:pPr>
        <w:widowControl/>
        <w:spacing w:line="560" w:lineRule="exact"/>
        <w:ind w:firstLine="480" w:firstLineChars="200"/>
        <w:outlineLvl w:val="0"/>
        <w:rPr>
          <w:rFonts w:ascii="仿宋_GB2312" w:hAnsi="仿宋" w:eastAsia="仿宋_GB2312"/>
          <w:b/>
          <w:kern w:val="0"/>
          <w:sz w:val="28"/>
          <w:szCs w:val="28"/>
        </w:rPr>
      </w:pPr>
      <w:r>
        <w:rPr>
          <w:rFonts w:hint="eastAsia" w:ascii="宋体" w:hAnsi="宋体" w:cs="宋体"/>
          <w:b/>
          <w:bCs/>
          <w:kern w:val="0"/>
          <w:sz w:val="24"/>
        </w:rPr>
        <w:t>（五）</w:t>
      </w:r>
      <w:r>
        <w:rPr>
          <w:rFonts w:hint="eastAsia" w:ascii="仿宋_GB2312" w:hAnsi="仿宋" w:eastAsia="仿宋_GB2312"/>
          <w:b/>
          <w:kern w:val="0"/>
          <w:sz w:val="28"/>
          <w:szCs w:val="28"/>
        </w:rPr>
        <w:t>赛题作品形式</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根据策划方案创建模型场景、材质效果、UI界面、语音说明、交互声效、交互操作，最终完成任务书要求的VR项目，并录制5分钟左右的VR项目互动视频。</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模型的具体要求如下：</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(1)写实的美术风格，匹配的UI界面；</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(2)高品质的模型，作品总模型面数在80万三角面以内；</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(3)模型比例正确；</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(4)9成以上贴图材质新旧程度，材质球在50个以内；</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(5)仿真的场景、动画、声效和特效氛围；</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(6)友好的交互逻辑设计。</w:t>
      </w:r>
    </w:p>
    <w:p>
      <w:pPr>
        <w:adjustRightInd w:val="0"/>
        <w:snapToGrid w:val="0"/>
        <w:spacing w:line="300" w:lineRule="auto"/>
        <w:ind w:firstLine="561" w:firstLineChars="200"/>
        <w:jc w:val="left"/>
        <w:rPr>
          <w:rFonts w:ascii="仿宋_GB2312" w:hAnsi="仿宋" w:eastAsia="仿宋_GB2312"/>
          <w:b/>
          <w:kern w:val="0"/>
          <w:sz w:val="28"/>
          <w:szCs w:val="28"/>
        </w:rPr>
      </w:pPr>
      <w:r>
        <w:rPr>
          <w:rFonts w:hint="eastAsia" w:ascii="仿宋_GB2312" w:hAnsi="仿宋" w:eastAsia="仿宋_GB2312" w:cs="宋体"/>
          <w:b/>
          <w:kern w:val="0"/>
          <w:sz w:val="28"/>
          <w:szCs w:val="28"/>
        </w:rPr>
        <w:t>（六）</w:t>
      </w:r>
      <w:r>
        <w:rPr>
          <w:rFonts w:hint="eastAsia" w:ascii="宋体" w:hAnsi="宋体" w:cs="宋体"/>
          <w:b/>
          <w:bCs/>
          <w:kern w:val="0"/>
          <w:sz w:val="24"/>
        </w:rPr>
        <w:t xml:space="preserve"> </w:t>
      </w:r>
      <w:r>
        <w:rPr>
          <w:rFonts w:hint="eastAsia" w:ascii="仿宋_GB2312" w:hAnsi="仿宋" w:eastAsia="仿宋_GB2312"/>
          <w:b/>
          <w:kern w:val="0"/>
          <w:sz w:val="28"/>
          <w:szCs w:val="28"/>
        </w:rPr>
        <w:t>作品提交形式</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提交文件：教案、教学设计展示PPT、VR项目策划书、VR项目源文件、5分钟左右VR项目展示视频、现场建模作品</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教学设计展示格式: .ppt</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VR项目格式： .ivr/exe等源文件</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视频格式：MP4</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模型格式: FBX</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其它要求：参赛作品应为原创，若发现参赛作品存在侵权行为或含不良信息内容，则取消参赛资格。</w:t>
      </w:r>
    </w:p>
    <w:p>
      <w:pPr>
        <w:ind w:firstLine="561" w:firstLineChars="200"/>
        <w:rPr>
          <w:rFonts w:ascii="仿宋_GB2312" w:hAnsi="仿宋" w:eastAsia="仿宋_GB2312" w:cs="宋体"/>
          <w:b/>
          <w:kern w:val="0"/>
          <w:sz w:val="28"/>
          <w:szCs w:val="28"/>
        </w:rPr>
      </w:pPr>
      <w:r>
        <w:rPr>
          <w:rFonts w:hint="eastAsia" w:ascii="仿宋_GB2312" w:hAnsi="仿宋" w:eastAsia="仿宋_GB2312" w:cs="宋体"/>
          <w:b/>
          <w:kern w:val="0"/>
          <w:sz w:val="28"/>
          <w:szCs w:val="28"/>
        </w:rPr>
        <w:t>（七） 竞赛时间</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本次赛项的竞赛时长为4个小时。</w:t>
      </w:r>
    </w:p>
    <w:p>
      <w:pPr>
        <w:ind w:firstLine="561" w:firstLineChars="200"/>
        <w:rPr>
          <w:rFonts w:ascii="仿宋_GB2312" w:hAnsi="仿宋" w:eastAsia="仿宋_GB2312" w:cs="宋体"/>
          <w:b/>
          <w:kern w:val="0"/>
          <w:sz w:val="28"/>
          <w:szCs w:val="28"/>
        </w:rPr>
      </w:pPr>
      <w:r>
        <w:rPr>
          <w:rFonts w:hint="eastAsia" w:ascii="仿宋_GB2312" w:hAnsi="仿宋" w:eastAsia="仿宋_GB2312" w:cs="宋体"/>
          <w:b/>
          <w:kern w:val="0"/>
          <w:sz w:val="28"/>
          <w:szCs w:val="28"/>
        </w:rPr>
        <w:t>（八） 评分方法</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采取分步得分、累计总分的计分方式，分别计算各子项得分。按规定比例计入总分。</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各竞赛项目和竞赛总分均按照百分制积分。</w:t>
      </w:r>
    </w:p>
    <w:p>
      <w:pPr>
        <w:ind w:firstLine="560" w:firstLineChars="200"/>
        <w:rPr>
          <w:rFonts w:ascii="仿宋_GB2312" w:hAnsi="仿宋" w:eastAsia="仿宋_GB2312" w:cs="宋体"/>
          <w:kern w:val="0"/>
          <w:sz w:val="28"/>
          <w:szCs w:val="28"/>
        </w:rPr>
      </w:pPr>
      <w:r>
        <w:rPr>
          <w:rFonts w:hint="eastAsia" w:ascii="仿宋_GB2312" w:hAnsi="仿宋" w:eastAsia="仿宋_GB2312" w:cs="宋体"/>
          <w:kern w:val="0"/>
          <w:sz w:val="28"/>
          <w:szCs w:val="28"/>
        </w:rPr>
        <w:t xml:space="preserve">参赛选手不得在比赛结果上标注含有本参赛队信息的记号，如有发现，取消奖项评比资格。 </w:t>
      </w:r>
    </w:p>
    <w:tbl>
      <w:tblPr>
        <w:tblStyle w:val="9"/>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36" w:type="dxa"/>
          </w:tcPr>
          <w:p>
            <w:pPr>
              <w:spacing w:line="360" w:lineRule="auto"/>
              <w:jc w:val="center"/>
              <w:rPr>
                <w:rFonts w:ascii="仿宋_GB2312" w:hAnsi="仿宋" w:eastAsia="仿宋_GB2312"/>
                <w:b/>
                <w:kern w:val="0"/>
                <w:sz w:val="28"/>
                <w:szCs w:val="28"/>
              </w:rPr>
            </w:pPr>
            <w:r>
              <w:rPr>
                <w:rFonts w:hint="eastAsia" w:ascii="仿宋_GB2312" w:hAnsi="仿宋" w:eastAsia="仿宋_GB2312"/>
                <w:b/>
                <w:kern w:val="0"/>
                <w:sz w:val="28"/>
                <w:szCs w:val="28"/>
              </w:rPr>
              <w:t>评分标准及细则</w:t>
            </w:r>
          </w:p>
          <w:p>
            <w:pPr>
              <w:rPr>
                <w:rFonts w:ascii="仿宋_GB2312" w:hAnsi="仿宋" w:eastAsia="仿宋_GB2312" w:cs="宋体"/>
                <w:kern w:val="0"/>
                <w:sz w:val="28"/>
                <w:szCs w:val="28"/>
              </w:rPr>
            </w:pPr>
            <w:r>
              <w:rPr>
                <w:rFonts w:hint="eastAsia" w:ascii="仿宋_GB2312" w:hAnsi="仿宋" w:eastAsia="仿宋_GB2312" w:cs="宋体"/>
                <w:kern w:val="0"/>
                <w:sz w:val="28"/>
                <w:szCs w:val="28"/>
              </w:rPr>
              <w:t>1、沉浸感、画面效果逼真性25分（依据画面的材质、纹理、贴图、光效等细节）</w:t>
            </w:r>
          </w:p>
          <w:p>
            <w:pPr>
              <w:rPr>
                <w:rFonts w:ascii="仿宋_GB2312" w:hAnsi="仿宋" w:eastAsia="仿宋_GB2312" w:cs="宋体"/>
                <w:kern w:val="0"/>
                <w:sz w:val="28"/>
                <w:szCs w:val="28"/>
              </w:rPr>
            </w:pPr>
            <w:r>
              <w:rPr>
                <w:rFonts w:hint="eastAsia" w:ascii="仿宋_GB2312" w:hAnsi="仿宋" w:eastAsia="仿宋_GB2312" w:cs="宋体"/>
                <w:kern w:val="0"/>
                <w:sz w:val="28"/>
                <w:szCs w:val="28"/>
              </w:rPr>
              <w:t>2、内容交互性25分（依据手柄操作的便捷、按钮设计的合理性、交互的准确性）</w:t>
            </w:r>
          </w:p>
          <w:p>
            <w:pPr>
              <w:rPr>
                <w:rFonts w:ascii="仿宋_GB2312" w:hAnsi="仿宋" w:eastAsia="仿宋_GB2312" w:cs="宋体"/>
                <w:kern w:val="0"/>
                <w:sz w:val="28"/>
                <w:szCs w:val="28"/>
              </w:rPr>
            </w:pPr>
            <w:r>
              <w:rPr>
                <w:rFonts w:hint="eastAsia" w:ascii="仿宋_GB2312" w:hAnsi="仿宋" w:eastAsia="仿宋_GB2312" w:cs="宋体"/>
                <w:kern w:val="0"/>
                <w:sz w:val="28"/>
                <w:szCs w:val="28"/>
              </w:rPr>
              <w:t>3、内容具有创新性15分（依据学科要求，具有一定的创新性）</w:t>
            </w:r>
          </w:p>
          <w:p>
            <w:pPr>
              <w:rPr>
                <w:rFonts w:ascii="仿宋_GB2312" w:hAnsi="仿宋" w:eastAsia="仿宋_GB2312" w:cs="宋体"/>
                <w:kern w:val="0"/>
                <w:sz w:val="28"/>
                <w:szCs w:val="28"/>
              </w:rPr>
            </w:pPr>
            <w:r>
              <w:rPr>
                <w:rFonts w:hint="eastAsia" w:ascii="仿宋_GB2312" w:hAnsi="仿宋" w:eastAsia="仿宋_GB2312" w:cs="宋体"/>
                <w:kern w:val="0"/>
                <w:sz w:val="28"/>
                <w:szCs w:val="28"/>
              </w:rPr>
              <w:t>4、内容的专业性15分（内容符合学科要求，不能有专业性错误问题）</w:t>
            </w:r>
          </w:p>
          <w:p>
            <w:pPr>
              <w:rPr>
                <w:rFonts w:ascii="仿宋_GB2312" w:hAnsi="仿宋" w:eastAsia="仿宋_GB2312" w:cs="宋体"/>
                <w:kern w:val="0"/>
                <w:sz w:val="28"/>
                <w:szCs w:val="28"/>
              </w:rPr>
            </w:pPr>
            <w:r>
              <w:rPr>
                <w:rFonts w:hint="eastAsia" w:ascii="仿宋_GB2312" w:hAnsi="仿宋" w:eastAsia="仿宋_GB2312" w:cs="宋体"/>
                <w:kern w:val="0"/>
                <w:sz w:val="28"/>
                <w:szCs w:val="28"/>
              </w:rPr>
              <w:t>5、模型成果10分（依据模型效果、面数、贴图质量等细节）</w:t>
            </w:r>
          </w:p>
          <w:p>
            <w:pPr>
              <w:rPr>
                <w:rFonts w:ascii="仿宋_GB2312" w:hAnsi="仿宋" w:eastAsia="仿宋_GB2312" w:cs="宋体"/>
                <w:kern w:val="0"/>
                <w:sz w:val="28"/>
                <w:szCs w:val="28"/>
              </w:rPr>
            </w:pPr>
            <w:r>
              <w:rPr>
                <w:rFonts w:hint="eastAsia" w:ascii="仿宋_GB2312" w:hAnsi="仿宋" w:eastAsia="仿宋_GB2312" w:cs="宋体"/>
                <w:kern w:val="0"/>
                <w:sz w:val="28"/>
                <w:szCs w:val="28"/>
              </w:rPr>
              <w:t>6、材料的完整性5分（依据作品录制、作品课件）</w:t>
            </w:r>
          </w:p>
          <w:p>
            <w:pPr>
              <w:rPr>
                <w:rFonts w:ascii="仿宋_GB2312" w:hAnsi="仿宋" w:eastAsia="仿宋_GB2312" w:cs="宋体"/>
                <w:kern w:val="0"/>
                <w:sz w:val="28"/>
                <w:szCs w:val="28"/>
              </w:rPr>
            </w:pPr>
            <w:r>
              <w:rPr>
                <w:rFonts w:hint="eastAsia" w:ascii="仿宋_GB2312" w:hAnsi="仿宋" w:eastAsia="仿宋_GB2312" w:cs="宋体"/>
                <w:kern w:val="0"/>
                <w:sz w:val="28"/>
                <w:szCs w:val="28"/>
              </w:rPr>
              <w:t>7、职业素养5分（团队协作、分工、精神风貌）</w:t>
            </w:r>
          </w:p>
          <w:p>
            <w:pPr>
              <w:rPr>
                <w:rFonts w:ascii="宋体" w:hAnsi="宋体"/>
              </w:rPr>
            </w:pPr>
          </w:p>
        </w:tc>
      </w:tr>
    </w:tbl>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四、竞赛方式</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根据虚拟现实（VR）设计与创作赛项特点，采取团体赛形式，</w:t>
      </w:r>
      <w:r>
        <w:rPr>
          <w:rFonts w:hint="default" w:ascii="仿宋_GB2312" w:hAnsi="仿宋" w:eastAsia="仿宋_GB2312"/>
          <w:sz w:val="28"/>
          <w:szCs w:val="28"/>
          <w:woUserID w:val="2"/>
        </w:rPr>
        <w:t>每个学校可以有1至2个参赛队</w:t>
      </w:r>
      <w:bookmarkStart w:id="0" w:name="_GoBack"/>
      <w:bookmarkEnd w:id="0"/>
      <w:r>
        <w:rPr>
          <w:rFonts w:hint="default" w:ascii="仿宋_GB2312" w:hAnsi="仿宋" w:eastAsia="仿宋_GB2312"/>
          <w:sz w:val="28"/>
          <w:szCs w:val="28"/>
          <w:woUserID w:val="2"/>
        </w:rPr>
        <w:t>，</w:t>
      </w:r>
      <w:r>
        <w:rPr>
          <w:rFonts w:hint="eastAsia" w:ascii="仿宋_GB2312" w:hAnsi="仿宋" w:eastAsia="仿宋_GB2312"/>
          <w:sz w:val="28"/>
          <w:szCs w:val="28"/>
        </w:rPr>
        <w:t>每个参赛队由3名选手（设场上队长1名）和1或2名指导教师组成。</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不得跨校组队，参赛选手须为全日制在籍学生；指导教师须为本校专、兼职教师。</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参赛选手在竞赛现场按照计划书要求，相互配合完成比赛任务。</w:t>
      </w:r>
    </w:p>
    <w:p>
      <w:pPr>
        <w:widowControl/>
        <w:spacing w:line="560" w:lineRule="exact"/>
        <w:ind w:firstLine="561" w:firstLineChars="200"/>
        <w:outlineLvl w:val="0"/>
        <w:rPr>
          <w:rFonts w:ascii="仿宋_GB2312" w:hAnsi="仿宋" w:eastAsia="仿宋_GB2312"/>
          <w:b/>
          <w:kern w:val="0"/>
          <w:sz w:val="28"/>
          <w:szCs w:val="28"/>
        </w:rPr>
      </w:pPr>
      <w:r>
        <w:rPr>
          <w:rFonts w:ascii="仿宋_GB2312" w:hAnsi="仿宋" w:eastAsia="仿宋_GB2312"/>
          <w:b/>
          <w:kern w:val="0"/>
          <w:sz w:val="28"/>
          <w:szCs w:val="28"/>
        </w:rPr>
        <w:t>五</w:t>
      </w:r>
      <w:r>
        <w:rPr>
          <w:rFonts w:hint="eastAsia" w:ascii="仿宋_GB2312" w:hAnsi="仿宋" w:eastAsia="仿宋_GB2312"/>
          <w:b/>
          <w:kern w:val="0"/>
          <w:sz w:val="28"/>
          <w:szCs w:val="28"/>
        </w:rPr>
        <w:t>、</w:t>
      </w:r>
      <w:r>
        <w:rPr>
          <w:rFonts w:ascii="仿宋_GB2312" w:hAnsi="仿宋" w:eastAsia="仿宋_GB2312"/>
          <w:b/>
          <w:kern w:val="0"/>
          <w:sz w:val="28"/>
          <w:szCs w:val="28"/>
        </w:rPr>
        <w:t>竞赛流程</w:t>
      </w:r>
    </w:p>
    <w:p>
      <w:pPr>
        <w:snapToGrid w:val="0"/>
        <w:spacing w:line="560" w:lineRule="exact"/>
        <w:ind w:firstLine="560" w:firstLineChars="200"/>
        <w:outlineLvl w:val="0"/>
        <w:rPr>
          <w:rFonts w:ascii="仿宋_GB2312" w:hAnsi="仿宋" w:eastAsia="仿宋_GB2312"/>
          <w:sz w:val="28"/>
          <w:szCs w:val="28"/>
        </w:rPr>
      </w:pPr>
      <w:r>
        <w:rPr>
          <w:rFonts w:ascii="仿宋_GB2312" w:hAnsi="仿宋" w:eastAsia="仿宋_GB2312"/>
          <w:sz w:val="28"/>
          <w:szCs w:val="28"/>
        </w:rPr>
        <w:t>竞赛</w:t>
      </w:r>
      <w:r>
        <w:rPr>
          <w:rFonts w:hint="eastAsia" w:ascii="仿宋_GB2312" w:hAnsi="仿宋" w:eastAsia="仿宋_GB2312"/>
          <w:sz w:val="28"/>
          <w:szCs w:val="28"/>
        </w:rPr>
        <w:t>日期参见赛项执委会发布时间，</w:t>
      </w:r>
      <w:r>
        <w:rPr>
          <w:rFonts w:ascii="仿宋_GB2312" w:hAnsi="仿宋" w:eastAsia="仿宋_GB2312"/>
          <w:sz w:val="28"/>
          <w:szCs w:val="28"/>
        </w:rPr>
        <w:t>流程见</w:t>
      </w:r>
      <w:r>
        <w:rPr>
          <w:rFonts w:hint="eastAsia" w:ascii="仿宋_GB2312" w:hAnsi="仿宋" w:eastAsia="仿宋_GB2312"/>
          <w:sz w:val="28"/>
          <w:szCs w:val="28"/>
        </w:rPr>
        <w:t>“VR</w:t>
      </w:r>
      <w:r>
        <w:rPr>
          <w:rFonts w:ascii="仿宋_GB2312" w:hAnsi="仿宋" w:eastAsia="仿宋_GB2312"/>
          <w:sz w:val="28"/>
          <w:szCs w:val="28"/>
        </w:rPr>
        <w:t>竞赛日程安排表</w:t>
      </w:r>
      <w:r>
        <w:rPr>
          <w:rFonts w:hint="eastAsia" w:ascii="仿宋_GB2312" w:hAnsi="仿宋" w:eastAsia="仿宋_GB2312"/>
          <w:sz w:val="28"/>
          <w:szCs w:val="28"/>
        </w:rPr>
        <w:t>”</w:t>
      </w:r>
    </w:p>
    <w:p>
      <w:pPr>
        <w:snapToGrid w:val="0"/>
        <w:spacing w:line="560" w:lineRule="exact"/>
        <w:ind w:firstLine="1260" w:firstLineChars="450"/>
        <w:jc w:val="center"/>
        <w:outlineLvl w:val="0"/>
        <w:rPr>
          <w:rFonts w:hint="eastAsia" w:ascii="Arial Narrow" w:hAnsi="Arial Narrow" w:eastAsia="仿宋_GB2312" w:cs="Arial"/>
          <w:sz w:val="28"/>
          <w:szCs w:val="30"/>
        </w:rPr>
      </w:pPr>
      <w:r>
        <w:rPr>
          <w:rFonts w:hint="eastAsia" w:ascii="仿宋_GB2312" w:hAnsi="仿宋" w:eastAsia="仿宋_GB2312"/>
          <w:sz w:val="28"/>
          <w:szCs w:val="28"/>
        </w:rPr>
        <w:t>VR</w:t>
      </w:r>
      <w:r>
        <w:rPr>
          <w:rFonts w:ascii="仿宋_GB2312" w:hAnsi="仿宋" w:eastAsia="仿宋_GB2312"/>
          <w:sz w:val="28"/>
          <w:szCs w:val="28"/>
        </w:rPr>
        <w:t>竞赛日程安排表</w:t>
      </w:r>
    </w:p>
    <w:tbl>
      <w:tblPr>
        <w:tblStyle w:val="8"/>
        <w:tblW w:w="86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1654"/>
        <w:gridCol w:w="5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jc w:val="center"/>
              <w:rPr>
                <w:rFonts w:hint="eastAsia" w:ascii="仿宋_GB2312" w:eastAsia="仿宋_GB2312"/>
                <w:b/>
                <w:sz w:val="24"/>
              </w:rPr>
            </w:pPr>
            <w:r>
              <w:rPr>
                <w:rFonts w:hint="eastAsia" w:ascii="仿宋_GB2312" w:eastAsia="仿宋_GB2312"/>
                <w:b/>
                <w:sz w:val="24"/>
              </w:rPr>
              <w:t>日期</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jc w:val="center"/>
              <w:rPr>
                <w:rFonts w:hint="eastAsia" w:ascii="仿宋_GB2312" w:eastAsia="仿宋_GB2312"/>
                <w:b/>
                <w:sz w:val="24"/>
              </w:rPr>
            </w:pPr>
            <w:r>
              <w:rPr>
                <w:rFonts w:hint="eastAsia" w:ascii="仿宋_GB2312" w:eastAsia="仿宋_GB2312"/>
                <w:b/>
                <w:sz w:val="24"/>
              </w:rPr>
              <w:t>时间</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jc w:val="center"/>
              <w:rPr>
                <w:rFonts w:hint="eastAsia" w:ascii="仿宋_GB2312" w:eastAsia="仿宋_GB2312"/>
                <w:b/>
                <w:sz w:val="24"/>
              </w:rPr>
            </w:pPr>
            <w:r>
              <w:rPr>
                <w:rFonts w:hint="eastAsia" w:ascii="仿宋_GB2312" w:eastAsia="仿宋_GB2312"/>
                <w:b/>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0" w:hRule="atLeast"/>
          <w:jc w:val="center"/>
        </w:trPr>
        <w:tc>
          <w:tcPr>
            <w:tcW w:w="1474" w:type="dxa"/>
            <w:tcBorders>
              <w:top w:val="single" w:color="auto" w:sz="4" w:space="0"/>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比赛前3天</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18:00之前</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hAnsi="仿宋" w:eastAsia="仿宋_GB2312" w:cs="宋体"/>
                <w:kern w:val="0"/>
                <w:sz w:val="28"/>
                <w:szCs w:val="28"/>
              </w:rPr>
              <w:t>VR内容素材提交（发邮件452053239@qq.com）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restart"/>
            <w:tcBorders>
              <w:top w:val="single" w:color="auto" w:sz="4" w:space="0"/>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比赛前一天</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16:00之前</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各参赛队报到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16:00-17:00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参赛队熟悉比赛场地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17:00-18:00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现场裁判赛前检查，封闭赛场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restart"/>
            <w:tcBorders>
              <w:top w:val="single" w:color="auto" w:sz="4" w:space="0"/>
              <w:left w:val="single" w:color="auto" w:sz="4" w:space="0"/>
              <w:right w:val="single" w:color="auto" w:sz="4" w:space="0"/>
            </w:tcBorders>
            <w:shd w:val="clear" w:color="auto" w:fill="FFFFFF"/>
            <w:vAlign w:val="center"/>
          </w:tcPr>
          <w:p>
            <w:pPr>
              <w:autoSpaceDE w:val="0"/>
              <w:autoSpaceDN w:val="0"/>
              <w:adjustRightInd w:val="0"/>
              <w:ind w:firstLine="120" w:firstLineChars="50"/>
              <w:rPr>
                <w:rFonts w:hint="eastAsia" w:ascii="仿宋_GB2312" w:eastAsia="仿宋_GB2312"/>
                <w:sz w:val="24"/>
              </w:rPr>
            </w:pPr>
            <w:r>
              <w:rPr>
                <w:rFonts w:hint="eastAsia" w:ascii="仿宋_GB2312" w:eastAsia="仿宋_GB2312"/>
                <w:sz w:val="24"/>
              </w:rPr>
              <w:t>比赛当天</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7:00-8:00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参赛队早餐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8:00-08:10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参赛队集合前往比赛现场启封赛场: 在裁判的监督下工作人员启封赛场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8:10-08:30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参赛选手持参赛证、身份证和学生证接受工作人员检录并进行抽签参赛工位号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08:30-08:50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竞赛入场检录，确认没有携带竞赛禁止的工具和材料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08:50-09:00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参赛选手根据工位号由工作人员引导进入竞赛工位并检查比赛所需竞赛设备齐全。裁判宣读竞赛规则及赛场规则，发布竞赛任务并作必要说明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09:00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竞赛开始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13:00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竞赛结束, 选手保存竞赛成果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74" w:type="dxa"/>
            <w:vMerge w:val="continue"/>
            <w:tcBorders>
              <w:left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13:00-18:00</w:t>
            </w:r>
          </w:p>
        </w:tc>
        <w:tc>
          <w:tcPr>
            <w:tcW w:w="5553"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rPr>
                <w:rFonts w:hint="eastAsia" w:ascii="仿宋_GB2312" w:eastAsia="仿宋_GB2312"/>
                <w:sz w:val="24"/>
              </w:rPr>
            </w:pPr>
            <w:r>
              <w:rPr>
                <w:rFonts w:hint="eastAsia" w:ascii="仿宋_GB2312" w:eastAsia="仿宋_GB2312"/>
                <w:sz w:val="24"/>
              </w:rPr>
              <w:t>评分：裁判组对竞赛的各参赛队进行成绩评定与复核</w:t>
            </w:r>
          </w:p>
        </w:tc>
      </w:tr>
    </w:tbl>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六、赛事要求</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（一）报名要求</w:t>
      </w:r>
    </w:p>
    <w:p>
      <w:pPr>
        <w:spacing w:line="560" w:lineRule="exact"/>
        <w:ind w:firstLine="600"/>
        <w:rPr>
          <w:rFonts w:ascii="Calibri" w:hAnsi="Calibri" w:eastAsia="仿宋_GB2312"/>
          <w:sz w:val="28"/>
          <w:szCs w:val="28"/>
        </w:rPr>
      </w:pPr>
      <w:r>
        <w:rPr>
          <w:rFonts w:hint="eastAsia" w:ascii="Calibri" w:hAnsi="Calibri" w:eastAsia="仿宋_GB2312"/>
          <w:sz w:val="28"/>
          <w:szCs w:val="28"/>
        </w:rPr>
        <w:t>本赛项为海南省高职院校组织报名，不允许跨校组队。参赛选手和指导教师报名获得确认后不得随意更换。如备赛过程中参赛选手和指导教师因故无法参赛，须由各高职院校于相应赛项开赛时间10个工作日之前出具书面说明，经大赛执委会办公室核实后予以更换，补充人员需满足本赛项参赛选手资格并接受审核；团体赛选手因特殊原因不能参加比赛时，由大赛执委会办公室根据赛项的特点决定是否可进行缺员比赛，并上报大赛执委会备案。竞赛开始后，参赛队不得更换参赛选手，若有参赛队员缺席，不得补充参赛选手。</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（二）赛前准备</w:t>
      </w:r>
    </w:p>
    <w:p>
      <w:pPr>
        <w:spacing w:line="560" w:lineRule="exact"/>
        <w:ind w:firstLine="600"/>
        <w:rPr>
          <w:rFonts w:ascii="Calibri" w:hAnsi="Calibri" w:eastAsia="仿宋_GB2312"/>
          <w:sz w:val="28"/>
          <w:szCs w:val="28"/>
        </w:rPr>
      </w:pPr>
      <w:r>
        <w:rPr>
          <w:rFonts w:hint="eastAsia" w:ascii="Calibri" w:hAnsi="Calibri" w:eastAsia="仿宋_GB2312"/>
          <w:sz w:val="28"/>
          <w:szCs w:val="28"/>
        </w:rPr>
        <w:t>参赛队在比赛前一天由赛项执委会统一组织熟悉赛场。</w:t>
      </w:r>
    </w:p>
    <w:p>
      <w:pPr>
        <w:spacing w:line="560" w:lineRule="exact"/>
        <w:ind w:firstLine="600"/>
        <w:rPr>
          <w:rFonts w:ascii="Calibri" w:hAnsi="Calibri" w:eastAsia="仿宋_GB2312"/>
          <w:sz w:val="28"/>
          <w:szCs w:val="28"/>
        </w:rPr>
      </w:pPr>
      <w:r>
        <w:rPr>
          <w:rFonts w:hint="eastAsia" w:ascii="Calibri" w:hAnsi="Calibri" w:eastAsia="仿宋_GB2312"/>
          <w:sz w:val="28"/>
          <w:szCs w:val="28"/>
        </w:rPr>
        <w:t>参赛选手须按规定提前入场，入场前须携带参赛凭证和有效身份证件（身份证和学生证）。不得私自携带任何软硬件工具（各种便携式电脑、各种移动存储设备等）、技术资源、通信工具等。按工位号就位，检查比赛所需竞赛设备齐全后方可开始比赛。迟到超过</w:t>
      </w:r>
      <w:r>
        <w:rPr>
          <w:rFonts w:ascii="Calibri" w:hAnsi="Calibri" w:eastAsia="仿宋_GB2312"/>
          <w:sz w:val="28"/>
          <w:szCs w:val="28"/>
        </w:rPr>
        <w:t>10</w:t>
      </w:r>
      <w:r>
        <w:rPr>
          <w:rFonts w:hint="eastAsia" w:ascii="Calibri" w:hAnsi="Calibri" w:eastAsia="仿宋_GB2312"/>
          <w:sz w:val="28"/>
          <w:szCs w:val="28"/>
        </w:rPr>
        <w:t>分钟不得入场。</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（三）正式比赛</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参赛选手应严格遵守赛场纪律，服从指挥，着装整洁，仪表端庄，讲文明礼貌。各高校之间应团结、友好、协作，避免各种矛盾发生。</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竞赛过程中，每个参赛队内部成员之间可以互相沟通，但不得和任何其它人员讨论问题，也不得向裁判、巡视和其他必须进入考场的工作人员询问与竞赛项目的操作流程和操作方法有关的问题，成员间的沟通谈话不得影响到其他竞赛队伍。如有软硬件环境故障问题时，可向裁判员询问。选手在比赛中应注意及时保存结果文件。竞赛期间参赛选手不准出场（去洗手间会有工作人员陪同），竞赛结束后方可离场。</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竞赛过程中除裁判和其他必须进入考场的工作人员外，任何其它非参赛选手不得进入竞赛场地。</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竞赛结束后，参赛队要确认成功提交竞赛要求的文件，裁判员监督参赛队队长签字确认，参赛队在确认后不得再进行任何操作。</w:t>
      </w:r>
    </w:p>
    <w:p>
      <w:pPr>
        <w:ind w:firstLine="560" w:firstLineChars="200"/>
        <w:rPr>
          <w:rFonts w:ascii="仿宋_GB2312" w:hAnsi="Arial Narrow" w:eastAsia="仿宋_GB2312"/>
          <w:sz w:val="28"/>
          <w:szCs w:val="28"/>
        </w:rPr>
      </w:pPr>
      <w:r>
        <w:rPr>
          <w:rFonts w:hint="eastAsia" w:ascii="仿宋_GB2312" w:hAnsi="Arial Narrow" w:eastAsia="仿宋_GB2312"/>
          <w:sz w:val="28"/>
          <w:szCs w:val="28"/>
        </w:rPr>
        <w:t>其它未尽事宜，将在赛前向各领队做详细说明，一切均需符合大赛制度规定。</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七、竞赛环境</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（一）赛场环境设计</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竞赛场地：竞赛现场设置竞赛区、裁判区、服务区、技术支持区。现场保证良好的采光、照明和通风，提供稳定的水、电和供电应急设备，同时提供指导教师休息场所。</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竞赛设备：所有竞赛设备由赛项执委会负责提供和保障，竞赛区按照参赛队数量准备比赛所需的软硬件平台，为参赛队提供标准竞赛设备。</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竞赛工位：竞赛现场各个工位配备单相220V/3A以上交流电源。每个比赛工位上标明编号。每个工位配有工作台，用于摆放计算机和其它设备工具等。</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技术支持区为参赛选手提供竞赛相关设备备件，服务区提供医疗等服务保障。</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（二）赛场开放</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竞赛环境依据竞赛需求设计，在竞赛不被干扰的前提下赛场面向媒体、行业专家开放，允许媒体、行业专家在规定的时段内进行现场参观。</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八、技术规范</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竞赛项目的命题依据企业职业岗位对人才培养需求，并参照表中相关国家职业技术标准制定。</w:t>
      </w:r>
    </w:p>
    <w:tbl>
      <w:tblPr>
        <w:tblStyle w:val="8"/>
        <w:tblW w:w="869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409"/>
        <w:gridCol w:w="5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b/>
                <w:sz w:val="24"/>
              </w:rPr>
            </w:pPr>
            <w:r>
              <w:rPr>
                <w:rFonts w:hint="eastAsia" w:ascii="仿宋_GB2312" w:hAnsi="宋体" w:eastAsia="仿宋_GB2312" w:cs="宋体"/>
                <w:b/>
                <w:sz w:val="24"/>
              </w:rPr>
              <w:t>序号</w:t>
            </w:r>
          </w:p>
        </w:tc>
        <w:tc>
          <w:tcPr>
            <w:tcW w:w="2409" w:type="dxa"/>
            <w:vAlign w:val="center"/>
          </w:tcPr>
          <w:p>
            <w:pPr>
              <w:jc w:val="center"/>
              <w:rPr>
                <w:rFonts w:ascii="仿宋_GB2312" w:hAnsi="宋体" w:eastAsia="仿宋_GB2312" w:cs="宋体"/>
                <w:b/>
                <w:sz w:val="24"/>
              </w:rPr>
            </w:pPr>
            <w:r>
              <w:rPr>
                <w:rFonts w:hint="eastAsia" w:ascii="仿宋_GB2312" w:hAnsi="宋体" w:eastAsia="仿宋_GB2312" w:cs="宋体"/>
                <w:b/>
                <w:sz w:val="24"/>
              </w:rPr>
              <w:t>标准号</w:t>
            </w:r>
          </w:p>
        </w:tc>
        <w:tc>
          <w:tcPr>
            <w:tcW w:w="5482" w:type="dxa"/>
            <w:vAlign w:val="center"/>
          </w:tcPr>
          <w:p>
            <w:pPr>
              <w:jc w:val="center"/>
              <w:rPr>
                <w:rFonts w:ascii="仿宋_GB2312" w:hAnsi="宋体" w:eastAsia="仿宋_GB2312" w:cs="宋体"/>
                <w:b/>
                <w:sz w:val="24"/>
              </w:rPr>
            </w:pPr>
            <w:r>
              <w:rPr>
                <w:rFonts w:hint="eastAsia" w:ascii="仿宋_GB2312" w:hAnsi="宋体" w:eastAsia="仿宋_GB2312" w:cs="宋体"/>
                <w:b/>
                <w:sz w:val="24"/>
              </w:rPr>
              <w:t>中文标准名称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1</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LD/T81.1-2006</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职业技能实训和鉴定设备技术规范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2</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ISO/IEC8806-4-1991</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信息技术 计算机图形 三维图形核心系统（GKS-3D）语言联编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3</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GB/T 28170.1-2011</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信息技术 计算机图形和图像处理 可扩展三维组件（X3D）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4</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ISO/IEC14496-5-2001/Amd 36-2015</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信息技术 音频－可视对象的编码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5</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ISO/IEC14496-27-2009/Amd 6-2015</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信息技术 视听对象编码 第27部分:3D图形的一致性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6</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ISO/IEC 23003-2-2010/Amd1-2015</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信息技术 MPEG音频技术 第2部分:三维空间音频对象编码（SAOC）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7</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ISO 15076-1-2010</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图象技术色彩管理 软件设计、文件格式和数据结构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8</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GB/T 22270.3-2015</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工业自动化系统与集成 测试应用的服务接口 第3部分:虚拟设备服务接口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8" w:type="dxa"/>
            <w:vAlign w:val="center"/>
          </w:tcPr>
          <w:p>
            <w:pPr>
              <w:jc w:val="center"/>
              <w:rPr>
                <w:rFonts w:ascii="仿宋_GB2312" w:hAnsi="宋体" w:eastAsia="仿宋_GB2312" w:cs="宋体"/>
                <w:sz w:val="24"/>
              </w:rPr>
            </w:pPr>
            <w:r>
              <w:rPr>
                <w:rFonts w:ascii="仿宋_GB2312" w:hAnsi="宋体" w:eastAsia="仿宋_GB2312" w:cs="宋体"/>
                <w:sz w:val="24"/>
              </w:rPr>
              <w:t>9</w:t>
            </w:r>
          </w:p>
        </w:tc>
        <w:tc>
          <w:tcPr>
            <w:tcW w:w="2409" w:type="dxa"/>
            <w:vAlign w:val="center"/>
          </w:tcPr>
          <w:p>
            <w:pPr>
              <w:jc w:val="center"/>
              <w:rPr>
                <w:rFonts w:ascii="仿宋_GB2312" w:hAnsi="宋体" w:eastAsia="仿宋_GB2312" w:cs="宋体"/>
                <w:sz w:val="24"/>
              </w:rPr>
            </w:pPr>
            <w:r>
              <w:rPr>
                <w:rFonts w:hint="eastAsia" w:ascii="仿宋_GB2312" w:hAnsi="宋体" w:eastAsia="仿宋_GB2312" w:cs="宋体"/>
                <w:sz w:val="24"/>
              </w:rPr>
              <w:t>GB/T 26101-2010</w:t>
            </w:r>
          </w:p>
        </w:tc>
        <w:tc>
          <w:tcPr>
            <w:tcW w:w="5482" w:type="dxa"/>
            <w:vAlign w:val="center"/>
          </w:tcPr>
          <w:p>
            <w:pPr>
              <w:rPr>
                <w:rFonts w:ascii="仿宋_GB2312" w:hAnsi="宋体" w:eastAsia="仿宋_GB2312" w:cs="宋体"/>
                <w:sz w:val="24"/>
              </w:rPr>
            </w:pPr>
            <w:r>
              <w:rPr>
                <w:rFonts w:hint="eastAsia" w:ascii="仿宋_GB2312" w:hAnsi="宋体" w:eastAsia="仿宋_GB2312" w:cs="宋体"/>
                <w:sz w:val="24"/>
              </w:rPr>
              <w:t>机械产品虚拟装配通用技术要求</w:t>
            </w:r>
          </w:p>
        </w:tc>
      </w:tr>
    </w:tbl>
    <w:p>
      <w:pPr>
        <w:adjustRightInd w:val="0"/>
        <w:snapToGrid w:val="0"/>
        <w:spacing w:line="300" w:lineRule="auto"/>
        <w:jc w:val="left"/>
        <w:rPr>
          <w:rFonts w:ascii="宋体" w:hAnsi="宋体" w:cs="宋体"/>
          <w:b/>
          <w:bCs/>
          <w:kern w:val="0"/>
          <w:sz w:val="24"/>
        </w:rPr>
      </w:pP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九、技术平台</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w:t>
      </w:r>
      <w:r>
        <w:rPr>
          <w:rFonts w:ascii="Arial Narrow" w:hAnsi="Arial Narrow" w:eastAsia="仿宋_GB2312" w:cs="Arial"/>
          <w:sz w:val="28"/>
          <w:szCs w:val="30"/>
        </w:rPr>
        <w:t>一</w:t>
      </w:r>
      <w:r>
        <w:rPr>
          <w:rFonts w:hint="eastAsia" w:ascii="Arial Narrow" w:hAnsi="Arial Narrow" w:eastAsia="仿宋_GB2312" w:cs="Arial"/>
          <w:sz w:val="28"/>
          <w:szCs w:val="30"/>
        </w:rPr>
        <w:t>）硬件环境</w:t>
      </w:r>
    </w:p>
    <w:tbl>
      <w:tblPr>
        <w:tblStyle w:val="8"/>
        <w:tblpPr w:leftFromText="180" w:rightFromText="180" w:vertAnchor="text" w:tblpXSpec="center" w:tblpY="1"/>
        <w:tblOverlap w:val="never"/>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178"/>
        <w:gridCol w:w="1486"/>
        <w:gridCol w:w="709"/>
        <w:gridCol w:w="851"/>
        <w:gridCol w:w="3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98" w:type="dxa"/>
          </w:tcPr>
          <w:p>
            <w:pPr>
              <w:spacing w:line="360" w:lineRule="auto"/>
              <w:jc w:val="center"/>
              <w:rPr>
                <w:rFonts w:ascii="宋体" w:hAnsi="宋体"/>
                <w:b/>
              </w:rPr>
            </w:pPr>
            <w:r>
              <w:rPr>
                <w:rFonts w:hint="eastAsia" w:ascii="宋体" w:hAnsi="宋体"/>
                <w:b/>
              </w:rPr>
              <w:t>序号</w:t>
            </w:r>
          </w:p>
        </w:tc>
        <w:tc>
          <w:tcPr>
            <w:tcW w:w="1178" w:type="dxa"/>
          </w:tcPr>
          <w:p>
            <w:pPr>
              <w:spacing w:line="360" w:lineRule="auto"/>
              <w:jc w:val="center"/>
              <w:rPr>
                <w:rFonts w:ascii="宋体" w:hAnsi="宋体"/>
                <w:b/>
              </w:rPr>
            </w:pPr>
            <w:r>
              <w:rPr>
                <w:rFonts w:hint="eastAsia" w:ascii="宋体" w:hAnsi="宋体"/>
                <w:b/>
              </w:rPr>
              <w:t>设备名称</w:t>
            </w:r>
          </w:p>
        </w:tc>
        <w:tc>
          <w:tcPr>
            <w:tcW w:w="1486" w:type="dxa"/>
          </w:tcPr>
          <w:p>
            <w:pPr>
              <w:spacing w:line="360" w:lineRule="auto"/>
              <w:jc w:val="center"/>
              <w:rPr>
                <w:rFonts w:ascii="宋体" w:hAnsi="宋体"/>
                <w:b/>
              </w:rPr>
            </w:pPr>
            <w:r>
              <w:rPr>
                <w:rFonts w:hint="eastAsia" w:ascii="宋体" w:hAnsi="宋体"/>
                <w:b/>
              </w:rPr>
              <w:t>型号</w:t>
            </w:r>
          </w:p>
        </w:tc>
        <w:tc>
          <w:tcPr>
            <w:tcW w:w="709" w:type="dxa"/>
          </w:tcPr>
          <w:p>
            <w:pPr>
              <w:spacing w:line="360" w:lineRule="auto"/>
              <w:jc w:val="center"/>
              <w:rPr>
                <w:rFonts w:ascii="宋体" w:hAnsi="宋体"/>
                <w:b/>
              </w:rPr>
            </w:pPr>
            <w:r>
              <w:rPr>
                <w:rFonts w:hint="eastAsia" w:ascii="宋体" w:hAnsi="宋体"/>
                <w:b/>
              </w:rPr>
              <w:t>单位</w:t>
            </w:r>
          </w:p>
        </w:tc>
        <w:tc>
          <w:tcPr>
            <w:tcW w:w="851" w:type="dxa"/>
          </w:tcPr>
          <w:p>
            <w:pPr>
              <w:spacing w:line="360" w:lineRule="auto"/>
              <w:jc w:val="center"/>
              <w:rPr>
                <w:rFonts w:ascii="宋体" w:hAnsi="宋体"/>
                <w:b/>
              </w:rPr>
            </w:pPr>
            <w:r>
              <w:rPr>
                <w:rFonts w:hint="eastAsia" w:ascii="宋体" w:hAnsi="宋体"/>
                <w:b/>
              </w:rPr>
              <w:t>数量</w:t>
            </w:r>
          </w:p>
        </w:tc>
        <w:tc>
          <w:tcPr>
            <w:tcW w:w="3792" w:type="dxa"/>
          </w:tcPr>
          <w:p>
            <w:pPr>
              <w:spacing w:line="360" w:lineRule="auto"/>
              <w:jc w:val="center"/>
              <w:rPr>
                <w:rFonts w:ascii="宋体" w:hAnsi="宋体"/>
                <w:b/>
              </w:rPr>
            </w:pPr>
            <w:r>
              <w:rPr>
                <w:rFonts w:hint="eastAsia" w:ascii="宋体" w:hAnsi="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98" w:type="dxa"/>
            <w:vAlign w:val="center"/>
          </w:tcPr>
          <w:p>
            <w:pPr>
              <w:spacing w:line="360" w:lineRule="auto"/>
              <w:jc w:val="center"/>
              <w:rPr>
                <w:rFonts w:ascii="宋体" w:hAnsi="宋体"/>
              </w:rPr>
            </w:pPr>
            <w:r>
              <w:rPr>
                <w:rFonts w:hint="eastAsia" w:ascii="宋体" w:hAnsi="宋体"/>
              </w:rPr>
              <w:t>1</w:t>
            </w:r>
          </w:p>
        </w:tc>
        <w:tc>
          <w:tcPr>
            <w:tcW w:w="1178" w:type="dxa"/>
            <w:vAlign w:val="center"/>
          </w:tcPr>
          <w:p>
            <w:pPr>
              <w:spacing w:line="276" w:lineRule="auto"/>
              <w:jc w:val="center"/>
              <w:rPr>
                <w:rFonts w:ascii="宋体" w:hAnsi="宋体"/>
              </w:rPr>
            </w:pPr>
            <w:r>
              <w:rPr>
                <w:rFonts w:hint="eastAsia" w:ascii="宋体" w:hAnsi="宋体"/>
              </w:rPr>
              <w:t>虚拟现实头显</w:t>
            </w:r>
          </w:p>
        </w:tc>
        <w:tc>
          <w:tcPr>
            <w:tcW w:w="1486" w:type="dxa"/>
            <w:vAlign w:val="center"/>
          </w:tcPr>
          <w:p>
            <w:pPr>
              <w:spacing w:line="360" w:lineRule="auto"/>
              <w:rPr>
                <w:rFonts w:ascii="宋体" w:hAnsi="宋体"/>
              </w:rPr>
            </w:pPr>
            <w:r>
              <w:rPr>
                <w:rFonts w:hint="eastAsia" w:ascii="宋体" w:hAnsi="宋体"/>
              </w:rPr>
              <w:t xml:space="preserve">品牌：三星 </w:t>
            </w:r>
          </w:p>
          <w:p>
            <w:pPr>
              <w:spacing w:line="360" w:lineRule="auto"/>
              <w:rPr>
                <w:rFonts w:ascii="宋体" w:hAnsi="宋体"/>
              </w:rPr>
            </w:pPr>
            <w:r>
              <w:rPr>
                <w:rFonts w:hint="eastAsia" w:ascii="宋体" w:hAnsi="宋体"/>
              </w:rPr>
              <w:t>型号：玄龙+</w:t>
            </w:r>
          </w:p>
        </w:tc>
        <w:tc>
          <w:tcPr>
            <w:tcW w:w="709" w:type="dxa"/>
            <w:vAlign w:val="center"/>
          </w:tcPr>
          <w:p>
            <w:pPr>
              <w:spacing w:line="360" w:lineRule="auto"/>
              <w:jc w:val="center"/>
              <w:rPr>
                <w:rFonts w:ascii="宋体" w:hAnsi="宋体"/>
              </w:rPr>
            </w:pPr>
            <w:r>
              <w:rPr>
                <w:rFonts w:hint="eastAsia" w:ascii="宋体" w:hAnsi="宋体"/>
              </w:rPr>
              <w:t>套</w:t>
            </w:r>
          </w:p>
        </w:tc>
        <w:tc>
          <w:tcPr>
            <w:tcW w:w="851" w:type="dxa"/>
            <w:vAlign w:val="center"/>
          </w:tcPr>
          <w:p>
            <w:pPr>
              <w:spacing w:line="360" w:lineRule="auto"/>
              <w:ind w:firstLine="189" w:firstLineChars="90"/>
              <w:jc w:val="center"/>
              <w:rPr>
                <w:rFonts w:ascii="宋体" w:hAnsi="宋体"/>
              </w:rPr>
            </w:pPr>
            <w:r>
              <w:rPr>
                <w:rFonts w:hint="eastAsia" w:ascii="宋体" w:hAnsi="宋体"/>
              </w:rPr>
              <w:t>1</w:t>
            </w:r>
          </w:p>
        </w:tc>
        <w:tc>
          <w:tcPr>
            <w:tcW w:w="3792" w:type="dxa"/>
          </w:tcPr>
          <w:p>
            <w:pPr>
              <w:spacing w:line="360" w:lineRule="exact"/>
              <w:jc w:val="left"/>
              <w:rPr>
                <w:rFonts w:ascii="宋体" w:hAnsi="宋体"/>
              </w:rPr>
            </w:pPr>
            <w:r>
              <w:rPr>
                <w:rFonts w:hint="eastAsia" w:ascii="宋体" w:hAnsi="宋体"/>
              </w:rPr>
              <w:t>配置：</w:t>
            </w:r>
          </w:p>
          <w:p>
            <w:pPr>
              <w:spacing w:line="360" w:lineRule="exact"/>
              <w:jc w:val="left"/>
              <w:rPr>
                <w:rFonts w:ascii="宋体" w:hAnsi="宋体"/>
              </w:rPr>
            </w:pPr>
            <w:r>
              <w:rPr>
                <w:rFonts w:hint="eastAsia" w:ascii="宋体" w:hAnsi="宋体"/>
              </w:rPr>
              <w:t>1. 屏幕：2个3.5英寸AMOLED</w:t>
            </w:r>
          </w:p>
          <w:p>
            <w:pPr>
              <w:spacing w:line="360" w:lineRule="exact"/>
              <w:jc w:val="left"/>
              <w:rPr>
                <w:rFonts w:ascii="宋体" w:hAnsi="宋体"/>
              </w:rPr>
            </w:pPr>
            <w:r>
              <w:rPr>
                <w:rFonts w:hint="eastAsia" w:ascii="宋体" w:hAnsi="宋体"/>
              </w:rPr>
              <w:t>2. 分辨率：单眼分辨率1440 x 1600，双眼分辨率3K（2880 x 1600）</w:t>
            </w:r>
          </w:p>
          <w:p>
            <w:pPr>
              <w:spacing w:line="360" w:lineRule="exact"/>
              <w:jc w:val="left"/>
              <w:rPr>
                <w:rFonts w:ascii="宋体" w:hAnsi="宋体"/>
              </w:rPr>
            </w:pPr>
            <w:r>
              <w:rPr>
                <w:rFonts w:hint="eastAsia" w:ascii="宋体" w:hAnsi="宋体"/>
              </w:rPr>
              <w:t>3.刷新率： 60/90Hz</w:t>
            </w:r>
          </w:p>
          <w:p>
            <w:pPr>
              <w:spacing w:line="360" w:lineRule="exact"/>
              <w:jc w:val="left"/>
              <w:rPr>
                <w:rFonts w:ascii="宋体" w:hAnsi="宋体"/>
              </w:rPr>
            </w:pPr>
            <w:r>
              <w:rPr>
                <w:rFonts w:hint="eastAsia" w:ascii="宋体" w:hAnsi="宋体"/>
              </w:rPr>
              <w:t>4. 视场角：110度</w:t>
            </w:r>
          </w:p>
          <w:p>
            <w:pPr>
              <w:spacing w:line="360" w:lineRule="exact"/>
              <w:jc w:val="left"/>
              <w:rPr>
                <w:rFonts w:ascii="宋体" w:hAnsi="宋体"/>
              </w:rPr>
            </w:pPr>
            <w:r>
              <w:rPr>
                <w:rFonts w:hint="eastAsia" w:ascii="宋体" w:hAnsi="宋体"/>
              </w:rPr>
              <w:t>5.配备专业版调音耳机，360°空间音效，借助超级沉浸式音轨</w:t>
            </w:r>
          </w:p>
          <w:p>
            <w:pPr>
              <w:spacing w:line="360" w:lineRule="exact"/>
              <w:jc w:val="left"/>
              <w:rPr>
                <w:rFonts w:ascii="宋体" w:hAnsi="宋体"/>
              </w:rPr>
            </w:pPr>
            <w:r>
              <w:rPr>
                <w:rFonts w:hint="eastAsia" w:ascii="宋体" w:hAnsi="宋体"/>
              </w:rPr>
              <w:t>6.配备内置定位传感器，自由定位空间位置</w:t>
            </w:r>
          </w:p>
          <w:p>
            <w:pPr>
              <w:spacing w:line="360" w:lineRule="exact"/>
              <w:jc w:val="left"/>
              <w:rPr>
                <w:rFonts w:ascii="宋体" w:hAnsi="宋体"/>
              </w:rPr>
            </w:pPr>
            <w:r>
              <w:rPr>
                <w:rFonts w:hint="eastAsia" w:ascii="宋体" w:hAnsi="宋体"/>
              </w:rPr>
              <w:t>7.专业人体工学设计，适应脸部轮廓，轻便舒适</w:t>
            </w:r>
          </w:p>
          <w:p>
            <w:pPr>
              <w:spacing w:line="360" w:lineRule="exact"/>
              <w:jc w:val="left"/>
              <w:rPr>
                <w:rFonts w:ascii="宋体" w:hAnsi="宋体"/>
              </w:rPr>
            </w:pPr>
            <w:r>
              <w:rPr>
                <w:rFonts w:hint="eastAsia" w:ascii="宋体" w:hAnsi="宋体"/>
              </w:rPr>
              <w:t>8.具备IPD瞳距调节功能</w:t>
            </w:r>
          </w:p>
          <w:p>
            <w:pPr>
              <w:spacing w:line="360" w:lineRule="exact"/>
              <w:jc w:val="left"/>
              <w:rPr>
                <w:rFonts w:ascii="宋体" w:hAnsi="宋体"/>
              </w:rPr>
            </w:pPr>
            <w:r>
              <w:rPr>
                <w:rFonts w:hint="eastAsia" w:ascii="宋体" w:hAnsi="宋体"/>
              </w:rPr>
              <w:t>9.重量：645g（无线缆）</w:t>
            </w:r>
          </w:p>
          <w:p>
            <w:pPr>
              <w:spacing w:line="360" w:lineRule="exact"/>
              <w:jc w:val="left"/>
              <w:rPr>
                <w:rFonts w:ascii="宋体" w:hAnsi="宋体"/>
              </w:rPr>
            </w:pPr>
            <w:r>
              <w:rPr>
                <w:rFonts w:hint="eastAsia" w:ascii="宋体" w:hAnsi="宋体"/>
              </w:rPr>
              <w:t>10.配套蓝牙接收器。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0" w:hRule="atLeast"/>
        </w:trPr>
        <w:tc>
          <w:tcPr>
            <w:tcW w:w="1198" w:type="dxa"/>
            <w:vAlign w:val="center"/>
          </w:tcPr>
          <w:p>
            <w:pPr>
              <w:spacing w:line="360" w:lineRule="auto"/>
              <w:jc w:val="center"/>
              <w:rPr>
                <w:rFonts w:ascii="宋体" w:hAnsi="宋体"/>
              </w:rPr>
            </w:pPr>
            <w:r>
              <w:rPr>
                <w:rFonts w:hint="eastAsia" w:ascii="宋体" w:hAnsi="宋体"/>
              </w:rPr>
              <w:t>2</w:t>
            </w:r>
          </w:p>
        </w:tc>
        <w:tc>
          <w:tcPr>
            <w:tcW w:w="1178" w:type="dxa"/>
            <w:vAlign w:val="center"/>
          </w:tcPr>
          <w:p>
            <w:pPr>
              <w:spacing w:line="360" w:lineRule="auto"/>
              <w:jc w:val="center"/>
              <w:rPr>
                <w:rFonts w:ascii="宋体" w:hAnsi="宋体"/>
              </w:rPr>
            </w:pPr>
            <w:r>
              <w:rPr>
                <w:rFonts w:hint="eastAsia" w:ascii="宋体" w:hAnsi="宋体"/>
              </w:rPr>
              <w:t>VR设计工作站</w:t>
            </w:r>
          </w:p>
        </w:tc>
        <w:tc>
          <w:tcPr>
            <w:tcW w:w="1486" w:type="dxa"/>
            <w:vAlign w:val="center"/>
          </w:tcPr>
          <w:p>
            <w:pPr>
              <w:spacing w:line="360" w:lineRule="auto"/>
              <w:rPr>
                <w:rFonts w:ascii="宋体" w:hAnsi="宋体"/>
              </w:rPr>
            </w:pPr>
            <w:r>
              <w:rPr>
                <w:rFonts w:hint="eastAsia" w:ascii="宋体" w:hAnsi="宋体"/>
              </w:rPr>
              <w:t>品牌：HP</w:t>
            </w:r>
          </w:p>
          <w:p>
            <w:pPr>
              <w:spacing w:line="360" w:lineRule="auto"/>
              <w:rPr>
                <w:rFonts w:ascii="宋体" w:hAnsi="宋体"/>
              </w:rPr>
            </w:pPr>
            <w:r>
              <w:rPr>
                <w:rFonts w:hint="eastAsia" w:ascii="宋体" w:hAnsi="宋体"/>
              </w:rPr>
              <w:t>型号：800G4</w:t>
            </w:r>
          </w:p>
        </w:tc>
        <w:tc>
          <w:tcPr>
            <w:tcW w:w="709" w:type="dxa"/>
            <w:vAlign w:val="center"/>
          </w:tcPr>
          <w:p>
            <w:pPr>
              <w:spacing w:line="360" w:lineRule="auto"/>
              <w:jc w:val="center"/>
              <w:rPr>
                <w:rFonts w:ascii="宋体" w:hAnsi="宋体"/>
              </w:rPr>
            </w:pPr>
            <w:r>
              <w:rPr>
                <w:rFonts w:hint="eastAsia" w:ascii="宋体" w:hAnsi="宋体"/>
              </w:rPr>
              <w:t>套</w:t>
            </w:r>
          </w:p>
        </w:tc>
        <w:tc>
          <w:tcPr>
            <w:tcW w:w="851" w:type="dxa"/>
            <w:vAlign w:val="center"/>
          </w:tcPr>
          <w:p>
            <w:pPr>
              <w:spacing w:line="360" w:lineRule="auto"/>
              <w:ind w:firstLine="189" w:firstLineChars="90"/>
              <w:jc w:val="center"/>
              <w:rPr>
                <w:rFonts w:ascii="宋体" w:hAnsi="宋体"/>
              </w:rPr>
            </w:pPr>
            <w:r>
              <w:rPr>
                <w:rFonts w:hint="eastAsia" w:ascii="宋体" w:hAnsi="宋体"/>
              </w:rPr>
              <w:t>1</w:t>
            </w:r>
          </w:p>
        </w:tc>
        <w:tc>
          <w:tcPr>
            <w:tcW w:w="3792" w:type="dxa"/>
          </w:tcPr>
          <w:p>
            <w:pPr>
              <w:spacing w:line="360" w:lineRule="auto"/>
              <w:jc w:val="left"/>
              <w:rPr>
                <w:rFonts w:ascii="宋体" w:hAnsi="宋体"/>
              </w:rPr>
            </w:pPr>
            <w:r>
              <w:rPr>
                <w:rFonts w:hint="eastAsia" w:ascii="宋体" w:hAnsi="宋体"/>
              </w:rPr>
              <w:t>配置：</w:t>
            </w:r>
          </w:p>
          <w:p>
            <w:pPr>
              <w:spacing w:line="360" w:lineRule="auto"/>
              <w:jc w:val="left"/>
              <w:rPr>
                <w:rFonts w:ascii="宋体" w:hAnsi="宋体"/>
              </w:rPr>
            </w:pPr>
            <w:r>
              <w:rPr>
                <w:rFonts w:hint="eastAsia" w:ascii="宋体" w:hAnsi="宋体"/>
              </w:rPr>
              <w:t>1.独立显卡： NVIDIA GTX1060；</w:t>
            </w:r>
          </w:p>
          <w:p>
            <w:pPr>
              <w:spacing w:line="360" w:lineRule="auto"/>
              <w:jc w:val="left"/>
              <w:rPr>
                <w:rFonts w:ascii="宋体" w:hAnsi="宋体"/>
              </w:rPr>
            </w:pPr>
            <w:r>
              <w:rPr>
                <w:rFonts w:hint="eastAsia" w:ascii="宋体" w:hAnsi="宋体"/>
              </w:rPr>
              <w:t>2.处理器： I7 8700；</w:t>
            </w:r>
          </w:p>
          <w:p>
            <w:pPr>
              <w:spacing w:line="360" w:lineRule="auto"/>
              <w:jc w:val="left"/>
              <w:rPr>
                <w:rFonts w:ascii="宋体" w:hAnsi="宋体"/>
              </w:rPr>
            </w:pPr>
            <w:r>
              <w:rPr>
                <w:rFonts w:hint="eastAsia" w:ascii="宋体" w:hAnsi="宋体"/>
              </w:rPr>
              <w:t>3.内存： DDR4 2400 2x8GB；</w:t>
            </w:r>
          </w:p>
          <w:p>
            <w:pPr>
              <w:spacing w:line="360" w:lineRule="auto"/>
              <w:jc w:val="left"/>
              <w:rPr>
                <w:rFonts w:ascii="宋体" w:hAnsi="宋体"/>
              </w:rPr>
            </w:pPr>
            <w:r>
              <w:rPr>
                <w:rFonts w:hint="eastAsia" w:ascii="宋体" w:hAnsi="宋体"/>
              </w:rPr>
              <w:t>4.硬盘： 1Thhd；</w:t>
            </w:r>
          </w:p>
          <w:p>
            <w:pPr>
              <w:spacing w:line="360" w:lineRule="auto"/>
              <w:jc w:val="left"/>
              <w:rPr>
                <w:rFonts w:ascii="宋体" w:hAnsi="宋体"/>
              </w:rPr>
            </w:pPr>
            <w:r>
              <w:rPr>
                <w:rFonts w:hint="eastAsia" w:ascii="宋体" w:hAnsi="宋体"/>
              </w:rPr>
              <w:t>5.系统：win10系统；</w:t>
            </w:r>
          </w:p>
          <w:p>
            <w:pPr>
              <w:spacing w:line="360" w:lineRule="auto"/>
              <w:jc w:val="left"/>
              <w:rPr>
                <w:rFonts w:ascii="宋体" w:hAnsi="宋体"/>
              </w:rPr>
            </w:pPr>
            <w:r>
              <w:rPr>
                <w:rFonts w:hint="eastAsia" w:ascii="宋体" w:hAnsi="宋体"/>
              </w:rPr>
              <w:t>6.屏幕：尺寸21.5英寸，16:9，宽屏，LED背光；</w:t>
            </w:r>
          </w:p>
          <w:p>
            <w:pPr>
              <w:spacing w:line="360" w:lineRule="auto"/>
              <w:jc w:val="left"/>
              <w:rPr>
                <w:rFonts w:ascii="宋体" w:hAnsi="宋体"/>
              </w:rPr>
            </w:pPr>
            <w:r>
              <w:rPr>
                <w:rFonts w:hint="eastAsia" w:ascii="宋体" w:hAnsi="宋体"/>
              </w:rPr>
              <w:t>7.分辨率1920*1080；</w:t>
            </w:r>
          </w:p>
          <w:p>
            <w:pPr>
              <w:spacing w:line="360" w:lineRule="auto"/>
              <w:jc w:val="left"/>
              <w:rPr>
                <w:rFonts w:ascii="宋体" w:hAnsi="宋体"/>
              </w:rPr>
            </w:pPr>
            <w:r>
              <w:rPr>
                <w:rFonts w:hint="eastAsia" w:ascii="宋体" w:hAnsi="宋体"/>
              </w:rPr>
              <w:t>8.对比度： 1000:1；</w:t>
            </w:r>
          </w:p>
          <w:p>
            <w:pPr>
              <w:spacing w:line="360" w:lineRule="auto"/>
              <w:jc w:val="left"/>
              <w:rPr>
                <w:rFonts w:ascii="宋体" w:hAnsi="宋体"/>
              </w:rPr>
            </w:pPr>
            <w:r>
              <w:rPr>
                <w:rFonts w:hint="eastAsia" w:ascii="宋体" w:hAnsi="宋体"/>
              </w:rPr>
              <w:t>9设计工作站需为品牌机，不接受组装机。</w:t>
            </w:r>
          </w:p>
        </w:tc>
      </w:tr>
    </w:tbl>
    <w:p/>
    <w:p>
      <w:pPr>
        <w:numPr>
          <w:ilvl w:val="0"/>
          <w:numId w:val="1"/>
        </w:num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软件环境</w:t>
      </w:r>
    </w:p>
    <w:tbl>
      <w:tblPr>
        <w:tblStyle w:val="8"/>
        <w:tblpPr w:leftFromText="180" w:rightFromText="180" w:vertAnchor="text" w:tblpXSpec="center" w:tblpY="1"/>
        <w:tblOverlap w:val="never"/>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3"/>
        <w:gridCol w:w="2551"/>
        <w:gridCol w:w="2127"/>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jc w:val="center"/>
              <w:rPr>
                <w:rFonts w:ascii="宋体" w:hAnsi="宋体"/>
                <w:b/>
              </w:rPr>
            </w:pPr>
            <w:r>
              <w:rPr>
                <w:rFonts w:hint="eastAsia" w:ascii="宋体" w:hAnsi="宋体"/>
                <w:b/>
              </w:rPr>
              <w:t>序号</w:t>
            </w:r>
          </w:p>
        </w:tc>
        <w:tc>
          <w:tcPr>
            <w:tcW w:w="1843" w:type="dxa"/>
          </w:tcPr>
          <w:p>
            <w:pPr>
              <w:spacing w:line="360" w:lineRule="auto"/>
              <w:jc w:val="center"/>
              <w:rPr>
                <w:rFonts w:ascii="宋体" w:hAnsi="宋体"/>
                <w:b/>
              </w:rPr>
            </w:pPr>
            <w:r>
              <w:rPr>
                <w:rFonts w:hint="eastAsia" w:ascii="宋体" w:hAnsi="宋体"/>
                <w:b/>
              </w:rPr>
              <w:t>软件类型</w:t>
            </w:r>
          </w:p>
        </w:tc>
        <w:tc>
          <w:tcPr>
            <w:tcW w:w="2551" w:type="dxa"/>
          </w:tcPr>
          <w:p>
            <w:pPr>
              <w:spacing w:line="360" w:lineRule="auto"/>
              <w:jc w:val="center"/>
              <w:rPr>
                <w:rFonts w:ascii="宋体" w:hAnsi="宋体"/>
                <w:b/>
              </w:rPr>
            </w:pPr>
            <w:r>
              <w:rPr>
                <w:rFonts w:hint="eastAsia" w:ascii="宋体" w:hAnsi="宋体"/>
                <w:b/>
              </w:rPr>
              <w:t>软件名称</w:t>
            </w:r>
          </w:p>
        </w:tc>
        <w:tc>
          <w:tcPr>
            <w:tcW w:w="2127" w:type="dxa"/>
          </w:tcPr>
          <w:p>
            <w:pPr>
              <w:spacing w:line="360" w:lineRule="auto"/>
              <w:jc w:val="center"/>
              <w:rPr>
                <w:rFonts w:ascii="宋体" w:hAnsi="宋体"/>
                <w:b/>
              </w:rPr>
            </w:pPr>
            <w:r>
              <w:rPr>
                <w:rFonts w:hint="eastAsia" w:ascii="宋体" w:hAnsi="宋体"/>
                <w:b/>
              </w:rPr>
              <w:t>软件版本</w:t>
            </w:r>
          </w:p>
        </w:tc>
        <w:tc>
          <w:tcPr>
            <w:tcW w:w="1842" w:type="dxa"/>
          </w:tcPr>
          <w:p>
            <w:pPr>
              <w:spacing w:line="360" w:lineRule="auto"/>
              <w:jc w:val="center"/>
              <w:rPr>
                <w:rFonts w:ascii="宋体" w:hAnsi="宋体"/>
                <w:b/>
              </w:rPr>
            </w:pPr>
            <w:r>
              <w:rPr>
                <w:rFonts w:hint="eastAsia" w:ascii="宋体" w:hAnsi="宋体"/>
                <w:b/>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jc w:val="center"/>
              <w:rPr>
                <w:rFonts w:ascii="宋体" w:hAnsi="宋体"/>
              </w:rPr>
            </w:pPr>
            <w:r>
              <w:rPr>
                <w:rFonts w:ascii="宋体" w:hAnsi="宋体"/>
              </w:rPr>
              <w:t>1</w:t>
            </w:r>
          </w:p>
        </w:tc>
        <w:tc>
          <w:tcPr>
            <w:tcW w:w="1843" w:type="dxa"/>
            <w:vAlign w:val="center"/>
          </w:tcPr>
          <w:p>
            <w:pPr>
              <w:spacing w:line="360" w:lineRule="auto"/>
              <w:jc w:val="center"/>
              <w:rPr>
                <w:rFonts w:ascii="宋体" w:hAnsi="宋体"/>
              </w:rPr>
            </w:pPr>
            <w:r>
              <w:rPr>
                <w:rFonts w:hint="eastAsia" w:ascii="宋体" w:hAnsi="宋体"/>
              </w:rPr>
              <w:t>VR设计软件</w:t>
            </w:r>
          </w:p>
        </w:tc>
        <w:tc>
          <w:tcPr>
            <w:tcW w:w="2551" w:type="dxa"/>
          </w:tcPr>
          <w:p>
            <w:pPr>
              <w:spacing w:line="360" w:lineRule="auto"/>
              <w:jc w:val="center"/>
              <w:rPr>
                <w:rFonts w:ascii="宋体" w:hAnsi="宋体"/>
              </w:rPr>
            </w:pPr>
            <w:r>
              <w:rPr>
                <w:rFonts w:ascii="宋体" w:hAnsi="宋体"/>
              </w:rPr>
              <w:t>IdeaVR 创世</w:t>
            </w:r>
          </w:p>
        </w:tc>
        <w:tc>
          <w:tcPr>
            <w:tcW w:w="2127" w:type="dxa"/>
            <w:vAlign w:val="center"/>
          </w:tcPr>
          <w:p>
            <w:pPr>
              <w:spacing w:line="360" w:lineRule="auto"/>
              <w:jc w:val="center"/>
              <w:rPr>
                <w:rFonts w:ascii="宋体" w:hAnsi="宋体"/>
              </w:rPr>
            </w:pPr>
            <w:r>
              <w:rPr>
                <w:rFonts w:hint="eastAsia" w:ascii="宋体" w:hAnsi="宋体"/>
              </w:rPr>
              <w:t>2019版</w:t>
            </w:r>
          </w:p>
        </w:tc>
        <w:tc>
          <w:tcPr>
            <w:tcW w:w="1842" w:type="dxa"/>
            <w:vAlign w:val="center"/>
          </w:tcPr>
          <w:p>
            <w:pPr>
              <w:spacing w:line="360" w:lineRule="auto"/>
              <w:jc w:val="center"/>
              <w:rPr>
                <w:rFonts w:ascii="宋体" w:hAnsi="宋体"/>
              </w:rPr>
            </w:pPr>
            <w:r>
              <w:rPr>
                <w:rFonts w:hint="eastAsia" w:ascii="宋体" w:hAnsi="宋体"/>
              </w:rPr>
              <w:t>大赛优先推荐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ind w:firstLine="199" w:firstLineChars="95"/>
              <w:rPr>
                <w:rFonts w:ascii="宋体" w:hAnsi="宋体"/>
              </w:rPr>
            </w:pPr>
            <w:r>
              <w:rPr>
                <w:rFonts w:hint="eastAsia" w:ascii="宋体" w:hAnsi="宋体"/>
              </w:rPr>
              <w:t>2</w:t>
            </w:r>
          </w:p>
        </w:tc>
        <w:tc>
          <w:tcPr>
            <w:tcW w:w="1843" w:type="dxa"/>
            <w:vAlign w:val="center"/>
          </w:tcPr>
          <w:p>
            <w:pPr>
              <w:spacing w:line="360" w:lineRule="auto"/>
              <w:jc w:val="center"/>
              <w:rPr>
                <w:rFonts w:ascii="宋体" w:hAnsi="宋体"/>
              </w:rPr>
            </w:pPr>
            <w:r>
              <w:rPr>
                <w:rFonts w:hint="eastAsia" w:ascii="宋体" w:hAnsi="宋体"/>
              </w:rPr>
              <w:t>3</w:t>
            </w:r>
            <w:r>
              <w:rPr>
                <w:rFonts w:ascii="宋体" w:hAnsi="宋体"/>
              </w:rPr>
              <w:t>D</w:t>
            </w:r>
            <w:r>
              <w:rPr>
                <w:rFonts w:hint="eastAsia" w:ascii="宋体" w:hAnsi="宋体"/>
              </w:rPr>
              <w:t>模型素材库</w:t>
            </w:r>
          </w:p>
        </w:tc>
        <w:tc>
          <w:tcPr>
            <w:tcW w:w="2551" w:type="dxa"/>
            <w:vAlign w:val="center"/>
          </w:tcPr>
          <w:p>
            <w:pPr>
              <w:spacing w:line="360" w:lineRule="auto"/>
              <w:jc w:val="center"/>
              <w:rPr>
                <w:rFonts w:ascii="宋体" w:hAnsi="宋体"/>
              </w:rPr>
            </w:pPr>
            <w:r>
              <w:rPr>
                <w:rFonts w:hint="eastAsia" w:ascii="宋体" w:hAnsi="宋体"/>
              </w:rPr>
              <w:t>3DCity</w:t>
            </w:r>
          </w:p>
        </w:tc>
        <w:tc>
          <w:tcPr>
            <w:tcW w:w="2127" w:type="dxa"/>
            <w:vAlign w:val="center"/>
          </w:tcPr>
          <w:p>
            <w:pPr>
              <w:spacing w:line="360" w:lineRule="auto"/>
              <w:jc w:val="center"/>
              <w:rPr>
                <w:rFonts w:ascii="宋体" w:hAnsi="宋体"/>
              </w:rPr>
            </w:pPr>
            <w:r>
              <w:rPr>
                <w:rFonts w:hint="eastAsia" w:ascii="宋体" w:hAnsi="宋体"/>
              </w:rPr>
              <w:t>www.3dcity.com</w:t>
            </w:r>
          </w:p>
        </w:tc>
        <w:tc>
          <w:tcPr>
            <w:tcW w:w="1842" w:type="dxa"/>
            <w:vAlign w:val="center"/>
          </w:tcPr>
          <w:p>
            <w:pPr>
              <w:spacing w:line="360" w:lineRule="auto"/>
              <w:jc w:val="center"/>
              <w:rPr>
                <w:rFonts w:ascii="宋体" w:hAnsi="宋体"/>
              </w:rPr>
            </w:pPr>
            <w:r>
              <w:rPr>
                <w:rFonts w:hint="eastAsia" w:ascii="宋体" w:hAnsi="宋体"/>
              </w:rPr>
              <w:t>大赛优先推荐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ind w:firstLine="199" w:firstLineChars="95"/>
              <w:rPr>
                <w:rFonts w:ascii="宋体" w:hAnsi="宋体"/>
              </w:rPr>
            </w:pPr>
            <w:r>
              <w:rPr>
                <w:rFonts w:hint="eastAsia" w:ascii="宋体" w:hAnsi="宋体"/>
              </w:rPr>
              <w:t>3</w:t>
            </w:r>
          </w:p>
        </w:tc>
        <w:tc>
          <w:tcPr>
            <w:tcW w:w="1843" w:type="dxa"/>
            <w:vAlign w:val="center"/>
          </w:tcPr>
          <w:p>
            <w:pPr>
              <w:spacing w:line="360" w:lineRule="auto"/>
              <w:jc w:val="center"/>
              <w:rPr>
                <w:rFonts w:ascii="宋体" w:hAnsi="宋体"/>
              </w:rPr>
            </w:pPr>
            <w:r>
              <w:rPr>
                <w:rFonts w:hint="eastAsia" w:ascii="宋体" w:hAnsi="宋体"/>
              </w:rPr>
              <w:t>操作系统</w:t>
            </w:r>
          </w:p>
        </w:tc>
        <w:tc>
          <w:tcPr>
            <w:tcW w:w="2551" w:type="dxa"/>
            <w:vAlign w:val="center"/>
          </w:tcPr>
          <w:p>
            <w:pPr>
              <w:spacing w:line="360" w:lineRule="auto"/>
              <w:jc w:val="center"/>
              <w:rPr>
                <w:rFonts w:ascii="宋体" w:hAnsi="宋体"/>
              </w:rPr>
            </w:pPr>
            <w:r>
              <w:rPr>
                <w:rFonts w:ascii="宋体" w:hAnsi="宋体"/>
              </w:rPr>
              <w:t>W</w:t>
            </w:r>
            <w:r>
              <w:rPr>
                <w:rFonts w:hint="eastAsia" w:ascii="宋体" w:hAnsi="宋体"/>
              </w:rPr>
              <w:t>indows</w:t>
            </w:r>
          </w:p>
        </w:tc>
        <w:tc>
          <w:tcPr>
            <w:tcW w:w="2127" w:type="dxa"/>
          </w:tcPr>
          <w:p>
            <w:pPr>
              <w:spacing w:line="360" w:lineRule="auto"/>
              <w:jc w:val="center"/>
              <w:rPr>
                <w:rFonts w:ascii="宋体" w:hAnsi="宋体"/>
              </w:rPr>
            </w:pPr>
            <w:r>
              <w:rPr>
                <w:rFonts w:ascii="宋体" w:hAnsi="宋体"/>
              </w:rPr>
              <w:t>W</w:t>
            </w:r>
            <w:r>
              <w:rPr>
                <w:rFonts w:hint="eastAsia" w:ascii="宋体" w:hAnsi="宋体"/>
              </w:rPr>
              <w:t>in</w:t>
            </w:r>
            <w:r>
              <w:rPr>
                <w:rFonts w:ascii="宋体" w:hAnsi="宋体"/>
              </w:rPr>
              <w:t>10</w:t>
            </w:r>
            <w:r>
              <w:rPr>
                <w:rFonts w:hint="eastAsia" w:ascii="宋体" w:hAnsi="宋体"/>
              </w:rPr>
              <w:t>/Win7 64位</w:t>
            </w:r>
          </w:p>
        </w:tc>
        <w:tc>
          <w:tcPr>
            <w:tcW w:w="1842" w:type="dxa"/>
          </w:tcPr>
          <w:p>
            <w:pPr>
              <w:spacing w:line="360" w:lineRule="auto"/>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ind w:firstLine="199" w:firstLineChars="95"/>
              <w:rPr>
                <w:rFonts w:ascii="宋体" w:hAnsi="宋体"/>
              </w:rPr>
            </w:pPr>
            <w:r>
              <w:rPr>
                <w:rFonts w:hint="eastAsia" w:ascii="宋体" w:hAnsi="宋体"/>
              </w:rPr>
              <w:t>4</w:t>
            </w:r>
          </w:p>
        </w:tc>
        <w:tc>
          <w:tcPr>
            <w:tcW w:w="1843" w:type="dxa"/>
            <w:vAlign w:val="center"/>
          </w:tcPr>
          <w:p>
            <w:pPr>
              <w:spacing w:line="360" w:lineRule="auto"/>
              <w:jc w:val="center"/>
              <w:rPr>
                <w:rFonts w:ascii="宋体" w:hAnsi="宋体"/>
              </w:rPr>
            </w:pPr>
            <w:r>
              <w:rPr>
                <w:rFonts w:hint="eastAsia" w:ascii="宋体" w:hAnsi="宋体"/>
              </w:rPr>
              <w:t>其他设计软件</w:t>
            </w:r>
          </w:p>
        </w:tc>
        <w:tc>
          <w:tcPr>
            <w:tcW w:w="2551" w:type="dxa"/>
            <w:vAlign w:val="center"/>
          </w:tcPr>
          <w:p>
            <w:pPr>
              <w:spacing w:line="360" w:lineRule="auto"/>
              <w:jc w:val="center"/>
              <w:rPr>
                <w:rFonts w:ascii="宋体" w:hAnsi="宋体"/>
              </w:rPr>
            </w:pPr>
            <w:r>
              <w:rPr>
                <w:rFonts w:ascii="宋体" w:hAnsi="宋体"/>
              </w:rPr>
              <w:t>Unity3D及其他</w:t>
            </w:r>
          </w:p>
        </w:tc>
        <w:tc>
          <w:tcPr>
            <w:tcW w:w="2127" w:type="dxa"/>
          </w:tcPr>
          <w:p>
            <w:pPr>
              <w:spacing w:line="360" w:lineRule="auto"/>
              <w:jc w:val="center"/>
              <w:rPr>
                <w:rFonts w:ascii="宋体" w:hAnsi="宋体"/>
              </w:rPr>
            </w:pPr>
          </w:p>
        </w:tc>
        <w:tc>
          <w:tcPr>
            <w:tcW w:w="1842" w:type="dxa"/>
          </w:tcPr>
          <w:p>
            <w:pPr>
              <w:spacing w:line="360" w:lineRule="auto"/>
              <w:ind w:firstLine="42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ind w:firstLine="199" w:firstLineChars="95"/>
              <w:rPr>
                <w:rFonts w:ascii="宋体" w:hAnsi="宋体"/>
              </w:rPr>
            </w:pPr>
            <w:r>
              <w:rPr>
                <w:rFonts w:hint="eastAsia" w:ascii="宋体" w:hAnsi="宋体"/>
              </w:rPr>
              <w:t>5</w:t>
            </w:r>
          </w:p>
        </w:tc>
        <w:tc>
          <w:tcPr>
            <w:tcW w:w="1843" w:type="dxa"/>
            <w:vAlign w:val="center"/>
          </w:tcPr>
          <w:p>
            <w:pPr>
              <w:spacing w:line="360" w:lineRule="auto"/>
              <w:jc w:val="center"/>
              <w:rPr>
                <w:rFonts w:ascii="宋体" w:hAnsi="宋体"/>
              </w:rPr>
            </w:pPr>
            <w:r>
              <w:rPr>
                <w:rFonts w:hint="eastAsia" w:ascii="宋体" w:hAnsi="宋体"/>
              </w:rPr>
              <w:t>辅助制作软件</w:t>
            </w:r>
          </w:p>
        </w:tc>
        <w:tc>
          <w:tcPr>
            <w:tcW w:w="2551" w:type="dxa"/>
            <w:vAlign w:val="center"/>
          </w:tcPr>
          <w:p>
            <w:pPr>
              <w:spacing w:line="360" w:lineRule="auto"/>
              <w:jc w:val="center"/>
              <w:rPr>
                <w:rFonts w:ascii="宋体" w:hAnsi="宋体"/>
              </w:rPr>
            </w:pPr>
            <w:r>
              <w:rPr>
                <w:rFonts w:hint="eastAsia" w:ascii="宋体" w:hAnsi="宋体"/>
              </w:rPr>
              <w:t>3Dmax、MaYa</w:t>
            </w:r>
          </w:p>
        </w:tc>
        <w:tc>
          <w:tcPr>
            <w:tcW w:w="2127" w:type="dxa"/>
          </w:tcPr>
          <w:p>
            <w:pPr>
              <w:spacing w:line="360" w:lineRule="auto"/>
              <w:jc w:val="center"/>
              <w:rPr>
                <w:rFonts w:ascii="宋体" w:hAnsi="宋体"/>
              </w:rPr>
            </w:pPr>
            <w:r>
              <w:rPr>
                <w:rFonts w:hint="eastAsia" w:ascii="宋体" w:hAnsi="宋体"/>
              </w:rPr>
              <w:t>2014版</w:t>
            </w:r>
          </w:p>
        </w:tc>
        <w:tc>
          <w:tcPr>
            <w:tcW w:w="1842" w:type="dxa"/>
          </w:tcPr>
          <w:p>
            <w:pPr>
              <w:spacing w:line="360" w:lineRule="auto"/>
              <w:ind w:firstLine="42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ind w:firstLine="199" w:firstLineChars="95"/>
              <w:rPr>
                <w:rFonts w:ascii="宋体" w:hAnsi="宋体"/>
              </w:rPr>
            </w:pPr>
            <w:r>
              <w:rPr>
                <w:rFonts w:hint="eastAsia" w:ascii="宋体" w:hAnsi="宋体"/>
              </w:rPr>
              <w:t>6</w:t>
            </w:r>
          </w:p>
        </w:tc>
        <w:tc>
          <w:tcPr>
            <w:tcW w:w="1843" w:type="dxa"/>
            <w:vAlign w:val="center"/>
          </w:tcPr>
          <w:p>
            <w:pPr>
              <w:spacing w:line="360" w:lineRule="auto"/>
              <w:jc w:val="center"/>
              <w:rPr>
                <w:rFonts w:ascii="宋体" w:hAnsi="宋体"/>
              </w:rPr>
            </w:pPr>
            <w:r>
              <w:rPr>
                <w:rFonts w:hint="eastAsia" w:ascii="宋体" w:hAnsi="宋体"/>
              </w:rPr>
              <w:t>辅助制作软件</w:t>
            </w:r>
          </w:p>
        </w:tc>
        <w:tc>
          <w:tcPr>
            <w:tcW w:w="2551" w:type="dxa"/>
            <w:vAlign w:val="center"/>
          </w:tcPr>
          <w:p>
            <w:pPr>
              <w:spacing w:line="360" w:lineRule="auto"/>
              <w:jc w:val="center"/>
              <w:rPr>
                <w:rFonts w:ascii="宋体" w:hAnsi="宋体"/>
              </w:rPr>
            </w:pPr>
            <w:r>
              <w:rPr>
                <w:rFonts w:ascii="宋体" w:hAnsi="宋体"/>
              </w:rPr>
              <w:t>P</w:t>
            </w:r>
            <w:r>
              <w:rPr>
                <w:rFonts w:hint="eastAsia" w:ascii="宋体" w:hAnsi="宋体"/>
              </w:rPr>
              <w:t>hotoShop</w:t>
            </w:r>
          </w:p>
        </w:tc>
        <w:tc>
          <w:tcPr>
            <w:tcW w:w="2127" w:type="dxa"/>
          </w:tcPr>
          <w:p>
            <w:pPr>
              <w:spacing w:line="360" w:lineRule="auto"/>
              <w:jc w:val="center"/>
              <w:rPr>
                <w:rFonts w:ascii="宋体" w:hAnsi="宋体"/>
              </w:rPr>
            </w:pPr>
            <w:r>
              <w:rPr>
                <w:rFonts w:ascii="宋体" w:hAnsi="宋体"/>
              </w:rPr>
              <w:t>CS</w:t>
            </w:r>
            <w:r>
              <w:rPr>
                <w:rFonts w:hint="eastAsia" w:ascii="宋体" w:hAnsi="宋体"/>
              </w:rPr>
              <w:t>6</w:t>
            </w:r>
          </w:p>
        </w:tc>
        <w:tc>
          <w:tcPr>
            <w:tcW w:w="1842" w:type="dxa"/>
          </w:tcPr>
          <w:p>
            <w:pPr>
              <w:spacing w:line="360" w:lineRule="auto"/>
              <w:ind w:firstLine="42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ind w:firstLine="199" w:firstLineChars="95"/>
              <w:rPr>
                <w:rFonts w:ascii="宋体" w:hAnsi="宋体"/>
              </w:rPr>
            </w:pPr>
            <w:r>
              <w:rPr>
                <w:rFonts w:hint="eastAsia" w:ascii="宋体" w:hAnsi="宋体"/>
              </w:rPr>
              <w:t>7</w:t>
            </w:r>
          </w:p>
        </w:tc>
        <w:tc>
          <w:tcPr>
            <w:tcW w:w="1843" w:type="dxa"/>
            <w:vAlign w:val="center"/>
          </w:tcPr>
          <w:p>
            <w:pPr>
              <w:spacing w:line="360" w:lineRule="auto"/>
              <w:jc w:val="center"/>
              <w:rPr>
                <w:rFonts w:ascii="宋体" w:hAnsi="宋体"/>
              </w:rPr>
            </w:pPr>
            <w:r>
              <w:rPr>
                <w:rFonts w:hint="eastAsia" w:ascii="宋体" w:hAnsi="宋体"/>
              </w:rPr>
              <w:t>基础软件</w:t>
            </w:r>
          </w:p>
        </w:tc>
        <w:tc>
          <w:tcPr>
            <w:tcW w:w="2551" w:type="dxa"/>
            <w:vAlign w:val="center"/>
          </w:tcPr>
          <w:p>
            <w:pPr>
              <w:spacing w:line="360" w:lineRule="auto"/>
              <w:jc w:val="center"/>
              <w:rPr>
                <w:rFonts w:ascii="宋体" w:hAnsi="宋体"/>
              </w:rPr>
            </w:pPr>
            <w:r>
              <w:rPr>
                <w:rFonts w:ascii="宋体" w:hAnsi="宋体"/>
              </w:rPr>
              <w:t>Office系列</w:t>
            </w:r>
          </w:p>
        </w:tc>
        <w:tc>
          <w:tcPr>
            <w:tcW w:w="2127" w:type="dxa"/>
          </w:tcPr>
          <w:p>
            <w:pPr>
              <w:spacing w:line="360" w:lineRule="auto"/>
              <w:jc w:val="center"/>
              <w:rPr>
                <w:rFonts w:ascii="宋体" w:hAnsi="宋体"/>
              </w:rPr>
            </w:pPr>
            <w:r>
              <w:rPr>
                <w:rFonts w:hint="eastAsia" w:ascii="宋体" w:hAnsi="宋体"/>
              </w:rPr>
              <w:t>2010</w:t>
            </w:r>
          </w:p>
        </w:tc>
        <w:tc>
          <w:tcPr>
            <w:tcW w:w="1842" w:type="dxa"/>
          </w:tcPr>
          <w:p>
            <w:pPr>
              <w:spacing w:line="360" w:lineRule="auto"/>
              <w:ind w:firstLine="42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ind w:firstLine="199" w:firstLineChars="95"/>
              <w:rPr>
                <w:rFonts w:ascii="宋体" w:hAnsi="宋体"/>
              </w:rPr>
            </w:pPr>
            <w:r>
              <w:rPr>
                <w:rFonts w:hint="eastAsia" w:ascii="宋体" w:hAnsi="宋体"/>
              </w:rPr>
              <w:t>8</w:t>
            </w:r>
          </w:p>
        </w:tc>
        <w:tc>
          <w:tcPr>
            <w:tcW w:w="1843" w:type="dxa"/>
            <w:vAlign w:val="center"/>
          </w:tcPr>
          <w:p>
            <w:pPr>
              <w:spacing w:line="360" w:lineRule="auto"/>
              <w:jc w:val="center"/>
              <w:rPr>
                <w:rFonts w:ascii="宋体" w:hAnsi="宋体"/>
              </w:rPr>
            </w:pPr>
            <w:r>
              <w:rPr>
                <w:rFonts w:hint="eastAsia" w:ascii="宋体" w:hAnsi="宋体"/>
              </w:rPr>
              <w:t>支撑软件</w:t>
            </w:r>
          </w:p>
        </w:tc>
        <w:tc>
          <w:tcPr>
            <w:tcW w:w="2551" w:type="dxa"/>
            <w:vAlign w:val="center"/>
          </w:tcPr>
          <w:p>
            <w:pPr>
              <w:spacing w:line="360" w:lineRule="auto"/>
              <w:jc w:val="center"/>
              <w:rPr>
                <w:rFonts w:ascii="宋体" w:hAnsi="宋体"/>
              </w:rPr>
            </w:pPr>
            <w:r>
              <w:rPr>
                <w:rFonts w:ascii="宋体" w:hAnsi="宋体"/>
              </w:rPr>
              <w:t>Visio</w:t>
            </w:r>
            <w:r>
              <w:rPr>
                <w:rFonts w:hint="eastAsia" w:ascii="宋体" w:hAnsi="宋体"/>
              </w:rPr>
              <w:t xml:space="preserve"> studio</w:t>
            </w:r>
          </w:p>
        </w:tc>
        <w:tc>
          <w:tcPr>
            <w:tcW w:w="2127" w:type="dxa"/>
          </w:tcPr>
          <w:p>
            <w:pPr>
              <w:spacing w:line="360" w:lineRule="auto"/>
              <w:jc w:val="center"/>
              <w:rPr>
                <w:rFonts w:ascii="宋体" w:hAnsi="宋体"/>
              </w:rPr>
            </w:pPr>
            <w:r>
              <w:rPr>
                <w:rFonts w:hint="eastAsia" w:ascii="宋体" w:hAnsi="宋体"/>
              </w:rPr>
              <w:t>2017</w:t>
            </w:r>
          </w:p>
        </w:tc>
        <w:tc>
          <w:tcPr>
            <w:tcW w:w="1842" w:type="dxa"/>
          </w:tcPr>
          <w:p>
            <w:pPr>
              <w:spacing w:line="360" w:lineRule="auto"/>
              <w:ind w:firstLine="42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tcPr>
          <w:p>
            <w:pPr>
              <w:spacing w:line="360" w:lineRule="auto"/>
              <w:jc w:val="center"/>
              <w:rPr>
                <w:rFonts w:ascii="宋体" w:hAnsi="宋体"/>
              </w:rPr>
            </w:pPr>
            <w:r>
              <w:rPr>
                <w:rFonts w:hint="eastAsia" w:ascii="宋体" w:hAnsi="宋体"/>
              </w:rPr>
              <w:t>9</w:t>
            </w:r>
          </w:p>
        </w:tc>
        <w:tc>
          <w:tcPr>
            <w:tcW w:w="1843" w:type="dxa"/>
            <w:vAlign w:val="center"/>
          </w:tcPr>
          <w:p>
            <w:pPr>
              <w:spacing w:line="360" w:lineRule="auto"/>
              <w:jc w:val="center"/>
              <w:rPr>
                <w:rFonts w:ascii="宋体" w:hAnsi="宋体"/>
              </w:rPr>
            </w:pPr>
            <w:r>
              <w:rPr>
                <w:rFonts w:hint="eastAsia" w:ascii="宋体" w:hAnsi="宋体"/>
              </w:rPr>
              <w:t>支撑软件</w:t>
            </w:r>
          </w:p>
        </w:tc>
        <w:tc>
          <w:tcPr>
            <w:tcW w:w="2551" w:type="dxa"/>
            <w:vAlign w:val="center"/>
          </w:tcPr>
          <w:p>
            <w:pPr>
              <w:spacing w:line="360" w:lineRule="auto"/>
              <w:jc w:val="center"/>
              <w:rPr>
                <w:rFonts w:ascii="宋体" w:hAnsi="宋体"/>
              </w:rPr>
            </w:pPr>
            <w:r>
              <w:rPr>
                <w:rFonts w:ascii="宋体" w:hAnsi="宋体"/>
              </w:rPr>
              <w:t>Steam</w:t>
            </w:r>
            <w:r>
              <w:rPr>
                <w:rFonts w:hint="eastAsia" w:ascii="宋体" w:hAnsi="宋体"/>
              </w:rPr>
              <w:t>VR</w:t>
            </w:r>
          </w:p>
        </w:tc>
        <w:tc>
          <w:tcPr>
            <w:tcW w:w="2127" w:type="dxa"/>
          </w:tcPr>
          <w:p>
            <w:pPr>
              <w:spacing w:line="360" w:lineRule="auto"/>
              <w:jc w:val="center"/>
              <w:rPr>
                <w:rFonts w:ascii="宋体" w:hAnsi="宋体"/>
              </w:rPr>
            </w:pPr>
            <w:r>
              <w:rPr>
                <w:rFonts w:hint="eastAsia" w:ascii="宋体" w:hAnsi="宋体"/>
              </w:rPr>
              <w:t>官方最新版</w:t>
            </w:r>
          </w:p>
        </w:tc>
        <w:tc>
          <w:tcPr>
            <w:tcW w:w="1842" w:type="dxa"/>
          </w:tcPr>
          <w:p>
            <w:pPr>
              <w:spacing w:line="360" w:lineRule="auto"/>
              <w:ind w:firstLine="420"/>
              <w:rPr>
                <w:rFonts w:ascii="宋体" w:hAnsi="宋体"/>
              </w:rPr>
            </w:pPr>
          </w:p>
        </w:tc>
      </w:tr>
    </w:tbl>
    <w:p>
      <w:pPr>
        <w:snapToGrid w:val="0"/>
        <w:spacing w:line="560" w:lineRule="exact"/>
        <w:ind w:firstLine="560" w:firstLineChars="200"/>
        <w:outlineLvl w:val="0"/>
        <w:rPr>
          <w:rFonts w:ascii="Arial Narrow" w:hAnsi="Arial Narrow" w:eastAsia="仿宋_GB2312" w:cs="Arial"/>
          <w:color w:val="000000" w:themeColor="text1"/>
          <w:sz w:val="28"/>
          <w:szCs w:val="30"/>
        </w:rPr>
      </w:pPr>
      <w:r>
        <w:rPr>
          <w:rFonts w:hint="eastAsia" w:ascii="Arial Narrow" w:hAnsi="Arial Narrow" w:eastAsia="仿宋_GB2312" w:cs="Arial"/>
          <w:color w:val="000000" w:themeColor="text1"/>
          <w:sz w:val="28"/>
          <w:szCs w:val="30"/>
        </w:rPr>
        <w:t>（三）竞赛平台介绍</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color w:val="000000" w:themeColor="text1"/>
          <w:kern w:val="0"/>
          <w:sz w:val="28"/>
          <w:szCs w:val="28"/>
        </w:rPr>
        <w:t>本次赛项使用的主体竞赛平台——虚拟现实设计制作实训平台是由VR应用硬件支撑框架与资源开发软件支撑平台组成。虚拟现实设计制作</w:t>
      </w:r>
      <w:r>
        <w:rPr>
          <w:rFonts w:hint="eastAsia" w:ascii="仿宋_GB2312" w:hAnsi="仿宋" w:eastAsia="仿宋_GB2312"/>
          <w:kern w:val="0"/>
          <w:sz w:val="28"/>
          <w:szCs w:val="28"/>
        </w:rPr>
        <w:t>实训平台主要由交互式VR套件、VR内容创作软件、VR内容创作模型资源库、VR设计工作站等部分组成。</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交互式VR套件是个基于图形工作站处理的VR显示头盔（即PC VR），实现VR资源的沉浸式显示。交互式VR套件与图形工作站相配合，VR项目经过图形工作站的计算与渲染后输出到交互式VR套件进行显示。交互式VR套件内置了一块分辨率为1440×1440的OLED屏幕，前面板配备了两个摄像头，借助这两个摄像头，无需借助外置定位装置也能实现六自由度的定位追踪，能在两个轴线方向上精确捕捉头部动作反馈给工作站，从而实现自然地观看VR资源。</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VR内容创作软件包括虚拟现实内容快速创作工具和案例管理、展示终端。参赛者可通过模型资源素材库快速获取三维模型文件，方便、高效地搭建虚拟场景内容，并能够通过动画编辑器制作丰富的交互内容，借助交互编辑器完成场景交互逻辑的定制。VR内容创作软件支持PC端、头盔端、LED大屏以及多通道立体显示环境等多种主流虚拟现实显示设备进行交互操作。内置功能强大的分布式异地多人协同系统，用户可以快速地构建多人协同工作环境，满足产品展示、方案评审、教育培训、协同训练等需求。</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VR内容创作模型资源库是强大的VR模型下载与分享平台，为三维技术应用提供高精度VR模型，进行VR内容的创作和实现。该网站平台主要应用于VR/AR设计、3D打印等新兴行业，也适用于工业制造、教育科研、出版传媒、娱乐传媒、游戏设计等众多行业领域。在此网站平台上，创作者可以快速查找并下载3D模型资源，从而大大提升工作效率。</w:t>
      </w:r>
    </w:p>
    <w:p>
      <w:pPr>
        <w:widowControl/>
        <w:snapToGrid w:val="0"/>
        <w:spacing w:line="560" w:lineRule="exact"/>
        <w:ind w:firstLine="560" w:firstLineChars="200"/>
        <w:rPr>
          <w:rFonts w:ascii="仿宋_GB2312" w:hAnsi="仿宋" w:eastAsia="仿宋_GB2312"/>
          <w:color w:val="000000" w:themeColor="text1"/>
          <w:kern w:val="0"/>
          <w:sz w:val="28"/>
          <w:szCs w:val="28"/>
        </w:rPr>
      </w:pPr>
      <w:r>
        <w:rPr>
          <w:rFonts w:hint="eastAsia" w:ascii="仿宋_GB2312" w:hAnsi="仿宋" w:eastAsia="仿宋_GB2312"/>
          <w:kern w:val="0"/>
          <w:sz w:val="28"/>
          <w:szCs w:val="28"/>
        </w:rPr>
        <w:t>VR设计工作站是进行VR场景设计与制作的工作平台。VR设计工作站提了高性能的CPU与图像处理GPU（GTX 1060）模块，可以满足学生3D建模（3DMax、Maya）、VR引擎操作、VR内容创作软件编辑使用、VR场景运作及渲染等高性能</w:t>
      </w:r>
      <w:r>
        <w:rPr>
          <w:rFonts w:hint="eastAsia" w:ascii="仿宋_GB2312" w:hAnsi="仿宋" w:eastAsia="仿宋_GB2312"/>
          <w:color w:val="000000" w:themeColor="text1"/>
          <w:kern w:val="0"/>
          <w:sz w:val="28"/>
          <w:szCs w:val="28"/>
        </w:rPr>
        <w:t>需求。</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十.裁判组</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1.组织与分工</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（1）参与大赛赛项成绩管理的组织机构包括：裁判组、监督组和仲裁组，受赛项执委会领导。</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（2）裁判组实行“裁判长负责制”，设裁判长1名；现场裁判包活裁判长在内共3名。</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1.裁判人员必须具备以下条件：</w:t>
      </w:r>
    </w:p>
    <w:p>
      <w:pPr>
        <w:pStyle w:val="11"/>
        <w:numPr>
          <w:ilvl w:val="0"/>
          <w:numId w:val="2"/>
        </w:numPr>
        <w:rPr>
          <w:rFonts w:ascii="仿宋_GB2312" w:hAnsi="仿宋" w:eastAsia="仿宋_GB2312" w:cs="宋体"/>
          <w:kern w:val="0"/>
          <w:sz w:val="28"/>
          <w:szCs w:val="28"/>
        </w:rPr>
      </w:pPr>
      <w:r>
        <w:rPr>
          <w:rFonts w:hint="eastAsia" w:ascii="仿宋_GB2312" w:hAnsi="仿宋" w:eastAsia="仿宋_GB2312" w:cs="宋体"/>
          <w:kern w:val="0"/>
          <w:sz w:val="28"/>
          <w:szCs w:val="28"/>
        </w:rPr>
        <w:t>思想品德优秀，身体健康；</w:t>
      </w:r>
    </w:p>
    <w:p>
      <w:pPr>
        <w:pStyle w:val="11"/>
        <w:numPr>
          <w:ilvl w:val="0"/>
          <w:numId w:val="2"/>
        </w:numPr>
        <w:rPr>
          <w:rFonts w:ascii="仿宋_GB2312" w:hAnsi="仿宋" w:eastAsia="仿宋_GB2312" w:cs="宋体"/>
          <w:kern w:val="0"/>
          <w:sz w:val="28"/>
          <w:szCs w:val="28"/>
        </w:rPr>
      </w:pPr>
      <w:r>
        <w:rPr>
          <w:rFonts w:hint="eastAsia" w:ascii="仿宋_GB2312" w:hAnsi="仿宋" w:eastAsia="仿宋_GB2312" w:cs="宋体"/>
          <w:kern w:val="0"/>
          <w:sz w:val="28"/>
          <w:szCs w:val="28"/>
        </w:rPr>
        <w:t>具有较全面的了解VR行业及具有VR行业应用的人员，能对VR内容逻辑及交互有深刻认识的丰富经验者，是举办方认可的选出人员；</w:t>
      </w:r>
    </w:p>
    <w:p>
      <w:pPr>
        <w:pStyle w:val="11"/>
        <w:numPr>
          <w:ilvl w:val="0"/>
          <w:numId w:val="2"/>
        </w:numPr>
        <w:rPr>
          <w:rFonts w:ascii="仿宋_GB2312" w:hAnsi="仿宋" w:eastAsia="仿宋_GB2312" w:cs="宋体"/>
          <w:kern w:val="0"/>
          <w:sz w:val="28"/>
          <w:szCs w:val="28"/>
        </w:rPr>
      </w:pPr>
      <w:r>
        <w:rPr>
          <w:rFonts w:hint="eastAsia" w:ascii="仿宋_GB2312" w:hAnsi="仿宋" w:eastAsia="仿宋_GB2312" w:cs="宋体"/>
          <w:kern w:val="0"/>
          <w:sz w:val="28"/>
          <w:szCs w:val="28"/>
        </w:rPr>
        <w:t>高度诚实，公正、公平、客观，并具有合作能力；</w:t>
      </w:r>
    </w:p>
    <w:p>
      <w:pPr>
        <w:pStyle w:val="11"/>
        <w:numPr>
          <w:ilvl w:val="0"/>
          <w:numId w:val="2"/>
        </w:numPr>
        <w:rPr>
          <w:rFonts w:ascii="仿宋_GB2312" w:hAnsi="仿宋" w:eastAsia="仿宋_GB2312" w:cs="宋体"/>
          <w:kern w:val="0"/>
          <w:sz w:val="28"/>
          <w:szCs w:val="28"/>
        </w:rPr>
      </w:pPr>
      <w:r>
        <w:rPr>
          <w:rFonts w:hint="eastAsia" w:ascii="仿宋_GB2312" w:hAnsi="仿宋" w:eastAsia="仿宋_GB2312" w:cs="宋体"/>
          <w:kern w:val="0"/>
          <w:sz w:val="28"/>
          <w:szCs w:val="28"/>
        </w:rPr>
        <w:t>熟知并遵守校赛规则、技术工作等文件规定。</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2.裁判组分组及职责</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裁判组成员负责赛务工作，主要包括负责竞赛场地、设备等的检验；负责全过程竞赛的执裁工作和竞赛成绩的汇总、审核、报批。</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3.成绩评定方法</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成绩评定是根据竞赛考核目标、内容对参赛队（选手）在竞赛过程中的表现和最终成果做出评价。本赛项的评分方法为过程评分+结果评分，其中职业素养为过程评分，其他为结果评分，依据赛项评价标准和细则进行评分。</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所有的评分表、成绩汇总表备案以供核查，最终的成绩由裁判长进行审核确认并上报赛项执委会。</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4.成绩汇总</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裁判长正式提交赛位（竞赛作品）评分结果并复核无误后，裁判在监督人员监督下对比赛结果进行逐层评审。</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5.成绩报送</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（1）录入，由承办单位信息员将赛项总成绩的最终结果录入相关赛事系统。</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（2）审核，承办单位信息员对成绩数据审核后，将赛务成绩导出打印，经赛项裁判长审核无误后签字。</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（3）报送，由承办单位信息员将裁判长签字的纸质打印成绩单报送大赛执委会办公室。</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6.成绩使用</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大赛最终成绩由大赛组委会公布，任何组织和个人，不得擅自对大赛成绩进行涂改、伪造或用于欺诈等违法犯罪活动。</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十一、奖项设定</w:t>
      </w:r>
    </w:p>
    <w:p>
      <w:pPr>
        <w:widowControl/>
        <w:spacing w:line="560" w:lineRule="exact"/>
        <w:ind w:firstLine="560" w:firstLineChars="200"/>
        <w:rPr>
          <w:rFonts w:hint="eastAsia" w:ascii="仿宋_GB2312" w:hAnsi="仿宋_GB2312" w:eastAsia="仿宋_GB2312" w:cs="仿宋_GB2312"/>
          <w:color w:val="000000"/>
          <w:kern w:val="0"/>
          <w:sz w:val="32"/>
          <w:szCs w:val="32"/>
        </w:rPr>
      </w:pPr>
      <w:r>
        <w:rPr>
          <w:rFonts w:hint="eastAsia" w:ascii="仿宋_GB2312" w:hAnsi="仿宋" w:eastAsia="仿宋_GB2312"/>
          <w:kern w:val="0"/>
          <w:sz w:val="28"/>
          <w:szCs w:val="28"/>
        </w:rPr>
        <w:t>竞赛设参赛选手团体奖，</w:t>
      </w:r>
      <w:r>
        <w:rPr>
          <w:rFonts w:hint="eastAsia" w:ascii="仿宋_GB2312" w:hAnsi="仿宋_GB2312" w:eastAsia="仿宋_GB2312" w:cs="仿宋_GB2312"/>
          <w:color w:val="000000"/>
          <w:kern w:val="0"/>
          <w:sz w:val="32"/>
          <w:szCs w:val="32"/>
        </w:rPr>
        <w:t>竞赛</w:t>
      </w:r>
      <w:r>
        <w:rPr>
          <w:rFonts w:hint="eastAsia" w:ascii="仿宋_GB2312" w:hAnsi="仿宋" w:eastAsia="仿宋_GB2312"/>
          <w:kern w:val="0"/>
          <w:sz w:val="28"/>
          <w:szCs w:val="28"/>
        </w:rPr>
        <w:t>团体奖</w:t>
      </w:r>
      <w:r>
        <w:rPr>
          <w:rFonts w:hint="eastAsia" w:ascii="仿宋_GB2312" w:hAnsi="仿宋_GB2312" w:eastAsia="仿宋_GB2312" w:cs="仿宋_GB2312"/>
          <w:color w:val="000000"/>
          <w:kern w:val="0"/>
          <w:sz w:val="32"/>
          <w:szCs w:val="32"/>
        </w:rPr>
        <w:t>的设定为：一等奖占比10%，二等奖占比20%，三等奖占比30%，获得一等奖的指导教师由组委会颁发优秀指导教师证书。</w:t>
      </w:r>
    </w:p>
    <w:p>
      <w:pPr>
        <w:widowControl/>
        <w:snapToGrid w:val="0"/>
        <w:spacing w:line="560" w:lineRule="exact"/>
        <w:ind w:firstLine="561" w:firstLineChars="200"/>
        <w:rPr>
          <w:rFonts w:ascii="仿宋_GB2312" w:hAnsi="仿宋" w:eastAsia="仿宋_GB2312"/>
          <w:b/>
          <w:kern w:val="0"/>
          <w:sz w:val="28"/>
          <w:szCs w:val="28"/>
        </w:rPr>
      </w:pPr>
      <w:r>
        <w:rPr>
          <w:rFonts w:hint="eastAsia" w:ascii="仿宋_GB2312" w:hAnsi="仿宋" w:eastAsia="仿宋_GB2312"/>
          <w:b/>
          <w:kern w:val="0"/>
          <w:sz w:val="28"/>
          <w:szCs w:val="28"/>
        </w:rPr>
        <w:t>十二、赛场预案</w:t>
      </w:r>
    </w:p>
    <w:p>
      <w:pPr>
        <w:widowControl/>
        <w:snapToGrid w:val="0"/>
        <w:spacing w:line="560" w:lineRule="exact"/>
        <w:ind w:firstLine="560" w:firstLineChars="200"/>
        <w:rPr>
          <w:rFonts w:ascii="仿宋_GB2312" w:hAnsi="仿宋" w:eastAsia="仿宋_GB2312"/>
          <w:kern w:val="0"/>
          <w:sz w:val="28"/>
          <w:szCs w:val="28"/>
        </w:rPr>
      </w:pPr>
      <w:r>
        <w:rPr>
          <w:rFonts w:hint="eastAsia" w:ascii="仿宋_GB2312" w:hAnsi="仿宋" w:eastAsia="仿宋_GB2312"/>
          <w:kern w:val="0"/>
          <w:sz w:val="28"/>
          <w:szCs w:val="28"/>
        </w:rPr>
        <w:t>为保障赛项顺利进行，避免竞赛过程中不可控但可能出现的紧急情况，特制定如下赛场预案：</w:t>
      </w:r>
    </w:p>
    <w:p>
      <w:pPr>
        <w:widowControl/>
        <w:numPr>
          <w:ilvl w:val="0"/>
          <w:numId w:val="3"/>
        </w:numPr>
        <w:snapToGrid w:val="0"/>
        <w:spacing w:line="560" w:lineRule="exact"/>
        <w:ind w:firstLine="560" w:firstLineChars="200"/>
        <w:rPr>
          <w:rFonts w:ascii="仿宋" w:hAnsi="仿宋" w:eastAsia="仿宋" w:cs="Arial"/>
          <w:sz w:val="28"/>
          <w:szCs w:val="30"/>
        </w:rPr>
      </w:pPr>
      <w:r>
        <w:rPr>
          <w:rFonts w:hint="eastAsia" w:ascii="Arial Narrow" w:hAnsi="Arial Narrow" w:eastAsia="仿宋_GB2312" w:cs="Arial"/>
          <w:sz w:val="28"/>
          <w:szCs w:val="30"/>
        </w:rPr>
        <w:t>工作站、</w:t>
      </w:r>
      <w:r>
        <w:rPr>
          <w:rFonts w:hint="eastAsia" w:ascii="仿宋" w:hAnsi="仿宋" w:eastAsia="仿宋" w:cs="Arial"/>
          <w:sz w:val="28"/>
          <w:szCs w:val="30"/>
        </w:rPr>
        <w:t>PC机、VR眼镜问题处理预案</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赛场提供占总参赛队伍5%的备用工位和设备，经规定流程确认需要更换设备或调整工位时，可及时更换。</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若</w:t>
      </w:r>
      <w:r>
        <w:rPr>
          <w:rFonts w:hint="eastAsia" w:ascii="Arial Narrow" w:hAnsi="Arial Narrow" w:eastAsia="仿宋_GB2312" w:cs="Arial"/>
          <w:sz w:val="28"/>
          <w:szCs w:val="30"/>
        </w:rPr>
        <w:t>工作站、</w:t>
      </w:r>
      <w:r>
        <w:rPr>
          <w:rFonts w:hint="eastAsia" w:ascii="仿宋" w:hAnsi="仿宋" w:eastAsia="仿宋" w:cs="Arial"/>
          <w:sz w:val="28"/>
          <w:szCs w:val="30"/>
        </w:rPr>
        <w:t>PC机、VR眼镜在比赛过程中出现死机、蓝屏等现象（重启后无法解决），参赛选手由队长举手示意裁判，在现场裁判与技术支持人员确定情况后，可更换备用</w:t>
      </w:r>
      <w:r>
        <w:rPr>
          <w:rFonts w:hint="eastAsia" w:ascii="Arial Narrow" w:hAnsi="Arial Narrow" w:eastAsia="仿宋_GB2312" w:cs="Arial"/>
          <w:sz w:val="28"/>
          <w:szCs w:val="30"/>
        </w:rPr>
        <w:t>工作站、</w:t>
      </w:r>
      <w:r>
        <w:rPr>
          <w:rFonts w:hint="eastAsia" w:ascii="仿宋" w:hAnsi="仿宋" w:eastAsia="仿宋" w:cs="Arial"/>
          <w:sz w:val="28"/>
          <w:szCs w:val="30"/>
        </w:rPr>
        <w:t>PC机、VR眼镜或调整工位。更换设备的时间，可在比赛结束后相应延时。</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备注：本赛项不需要建立局域网、不需要服务器和交换机。</w:t>
      </w:r>
    </w:p>
    <w:p>
      <w:pPr>
        <w:widowControl/>
        <w:numPr>
          <w:ilvl w:val="0"/>
          <w:numId w:val="3"/>
        </w:numPr>
        <w:snapToGrid w:val="0"/>
        <w:spacing w:line="560" w:lineRule="exact"/>
        <w:ind w:firstLine="560" w:firstLineChars="200"/>
        <w:rPr>
          <w:rFonts w:ascii="仿宋" w:hAnsi="仿宋" w:eastAsia="仿宋" w:cs="Arial"/>
          <w:sz w:val="28"/>
          <w:szCs w:val="30"/>
        </w:rPr>
      </w:pPr>
      <w:r>
        <w:rPr>
          <w:rFonts w:hint="eastAsia" w:ascii="Arial Narrow" w:hAnsi="Arial Narrow" w:eastAsia="仿宋_GB2312" w:cs="Arial"/>
          <w:sz w:val="28"/>
          <w:szCs w:val="30"/>
        </w:rPr>
        <w:t>重大问题处理</w:t>
      </w:r>
      <w:r>
        <w:rPr>
          <w:rFonts w:hint="eastAsia" w:ascii="仿宋" w:hAnsi="仿宋" w:eastAsia="仿宋" w:cs="Arial"/>
          <w:sz w:val="28"/>
          <w:szCs w:val="30"/>
        </w:rPr>
        <w:t>预案</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赛场若出现重大突发事件或重大安全问题，经赛项执委会和专家组同意，暂停比赛，并由涉及人员有关领导，如裁判长、领队执委会领导和承办校负责人等协调处理解决。</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赛场若</w:t>
      </w:r>
      <w:r>
        <w:rPr>
          <w:rFonts w:ascii="仿宋" w:hAnsi="仿宋" w:eastAsia="仿宋" w:cs="Arial"/>
          <w:sz w:val="28"/>
          <w:szCs w:val="30"/>
        </w:rPr>
        <w:t>发生意外伤害、意外疾病等重大事故，裁判长立即中止相关人员比赛，第一时间由承办校医疗站校医抢救，</w:t>
      </w:r>
      <w:r>
        <w:rPr>
          <w:rFonts w:hint="eastAsia" w:ascii="仿宋" w:hAnsi="仿宋" w:eastAsia="仿宋" w:cs="Arial"/>
          <w:sz w:val="28"/>
          <w:szCs w:val="30"/>
        </w:rPr>
        <w:t>并</w:t>
      </w:r>
      <w:r>
        <w:rPr>
          <w:rFonts w:ascii="仿宋" w:hAnsi="仿宋" w:eastAsia="仿宋" w:cs="Arial"/>
          <w:sz w:val="28"/>
          <w:szCs w:val="30"/>
        </w:rPr>
        <w:t>呼叫120送往医院</w:t>
      </w:r>
      <w:r>
        <w:rPr>
          <w:rFonts w:hint="eastAsia" w:ascii="仿宋" w:hAnsi="仿宋" w:eastAsia="仿宋" w:cs="Arial"/>
          <w:sz w:val="28"/>
          <w:szCs w:val="30"/>
        </w:rPr>
        <w:t>处理</w:t>
      </w:r>
      <w:r>
        <w:rPr>
          <w:rFonts w:ascii="仿宋" w:hAnsi="仿宋" w:eastAsia="仿宋" w:cs="Arial"/>
          <w:sz w:val="28"/>
          <w:szCs w:val="30"/>
        </w:rPr>
        <w:t>。</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十三、赛项安全</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赛事安全是技能竞赛一切工作顺利开展的先决条件，是赛事筹备和运行工作必须考虑的核心问题。赛项执委会采取切实有效措施保证大赛期间参赛选手、指导教师、裁判员、工作人员及观众的人身安全。</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（一）比赛环境</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 1.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院校赛前须按照赛项执委会要求排除安全隐患。</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 2.赛场周围要设立警戒线，要求所有参赛人员必须凭赛项执委会印发的有效证件进入场地，防止无关人员进入发生意外事件。比赛现场内应参照相关职业岗位的要求为选手提供必要的劳动保护。在具有危险性的操作环节，裁判员要严防选手出现错误操作。</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 3.承办院校应提供保证应急预案实施的条件。对于比赛内容涉及高空作业、可能有坠物、大用电量、易发生火灾等情况的赛项，必须明确制度和预案，并配备急救人员与设施。</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 4.严格控制与参赛无关的易燃易爆以及各类危险品进入比赛场地，不许随便携带书包进入赛场。</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 5.配备先进的仪器，防止有人利用电磁波干扰比赛秩序。大赛现场需对赛场进行网络安全控制，以免场内外信息交互，充分体现大赛的严肃、公平和公正性。</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 6.赛项执委会须会同承办院校制定开放赛场和体验区的人员疏导方案。赛场环境中存在人员密集、车流人流交错的区域，除了设置齐全的指示标志外，须增加引导人员，并开辟备用通道。</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（二）生活条件</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1.比赛期间，原则上由赛项承办院校统一安排参赛选手和指导教师食宿。承办院校须尊重少数民族的信仰及文化，根据国家相关的民族政策，安排好少数民族选手和教师的饮食起居。</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2.比赛期间安排的住宿地应具有宾馆/住宿经营许可资质。以学校宿舍作为住宿地的，大赛期间的住宿、卫生、饮食安全等由执委会和提供宿舍的学校共同负责。</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3.大赛期间有组织的参观和观摩活动的交通安全由赛区组委会负责。赛项执委会和承办院校须保证比赛期间选手、指导教师和裁判员、工作人员的交通安全。</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4.各赛项的安全管理，除了可以采取必要的安全隔离措施外，应严格遵守国家相关法律法规，保护个人隐私和人身自由。</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（三）组队责任</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1.各学校组织代表队时，须安排为参赛选手购买大赛期间的人身意外伤害保险。</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2.各学校代表队组成后，须制定相关管理制度，并对所有选手、指导教师进行安全教育。</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3. 各参赛队伍须加强对参与比赛人员的安全管理，实现与赛场安全管理的对接。</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（四）应急处理</w:t>
      </w:r>
    </w:p>
    <w:p>
      <w:pPr>
        <w:adjustRightInd w:val="0"/>
        <w:spacing w:line="540" w:lineRule="exact"/>
        <w:ind w:firstLine="600" w:firstLineChars="200"/>
        <w:rPr>
          <w:rFonts w:ascii="Arial Narrow" w:hAnsi="Arial Narrow" w:eastAsia="仿宋_GB2312"/>
          <w:sz w:val="30"/>
          <w:szCs w:val="30"/>
        </w:rPr>
      </w:pPr>
      <w:r>
        <w:rPr>
          <w:rFonts w:hint="eastAsia" w:ascii="Arial Narrow" w:hAnsi="Arial Narrow" w:eastAsia="仿宋_GB2312"/>
          <w:sz w:val="30"/>
          <w:szCs w:val="30"/>
        </w:rPr>
        <w:t>比赛期间发生意外事故时，发现者应在第一时间报告赛项执委会，同时采取措施，避免事态扩大。赛项执委会应立即启动预案予以解决并向赛区执委会报告。出现重大安全问题的赛项可以停赛，是否停赛由赛区组委会决定。事后，赛区执委会应向大赛执委会报告详细情况。</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（五）处罚措施</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1.因参赛队伍原因造成重大安全事故的，取消其获奖资格。</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2.参赛队伍有发生重大安全事故隐患，经赛场工作人员提示、警告无效的，可取消其继续比赛的资格。</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3.赛事工作人员违规的，按照相应的制度追究责任。情节恶劣并造成重大安全事故的，由司法机关追究相应法律责任。</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十四、竞赛须知</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（一）参赛队须知</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1.参赛队应该参加赛项承办单位组织的闭赛式等各项赛事活动。</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2.在赛事期间，领队及参赛队其他成员不得私自接触裁判，凡发现有弄虚作假者，取消其参赛资格，成绩无效。</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3.所有参赛人员须按照赛项规程要求按照完成赛项评价工作。</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4.对于有碍比赛公正和比赛正常进行的参赛队，视其情节轻重，按照赛事组委会给予警告、取消比赛成绩、通报批评等处理。</w:t>
      </w:r>
    </w:p>
    <w:p>
      <w:pPr>
        <w:snapToGrid w:val="0"/>
        <w:spacing w:line="560" w:lineRule="exact"/>
        <w:ind w:firstLine="560" w:firstLineChars="200"/>
        <w:outlineLvl w:val="0"/>
        <w:rPr>
          <w:rFonts w:ascii="Arial Narrow" w:hAnsi="Arial Narrow" w:eastAsia="仿宋_GB2312" w:cs="Arial"/>
          <w:sz w:val="28"/>
          <w:szCs w:val="30"/>
        </w:rPr>
      </w:pPr>
      <w:r>
        <w:rPr>
          <w:rFonts w:hint="eastAsia" w:ascii="Arial Narrow" w:hAnsi="Arial Narrow" w:eastAsia="仿宋_GB2312" w:cs="Arial"/>
          <w:sz w:val="28"/>
          <w:szCs w:val="30"/>
        </w:rPr>
        <w:t>（二）参赛队领队须知</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1.领队应按时参加赛前领队会议，不得无故缺席。</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2.领队负责组织本省参赛队参加各项赛事活动。</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3.领队应积极做好本省参赛队的服务工作，协调各参赛队与赛项组织机构、承办院校的对接。</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4.参赛队认为存在不符合竞赛规定的设备、工具、软件，有失公正的评判、奖励，以及工作人员的违规行为等情况时，须由领队在该赛项竞赛结束后2小时内，向赛项仲裁组提交书面申诉材料。各参赛队领队应带头服从和执行申诉的最终仲裁结果，并要求指导教师、选手服从和执行。</w:t>
      </w:r>
    </w:p>
    <w:p>
      <w:pPr>
        <w:snapToGrid w:val="0"/>
        <w:spacing w:line="560" w:lineRule="exact"/>
        <w:ind w:firstLine="560" w:firstLineChars="200"/>
        <w:outlineLvl w:val="0"/>
        <w:rPr>
          <w:rFonts w:ascii="仿宋" w:hAnsi="仿宋" w:eastAsia="仿宋" w:cs="Arial"/>
          <w:sz w:val="28"/>
          <w:szCs w:val="30"/>
        </w:rPr>
      </w:pPr>
      <w:r>
        <w:rPr>
          <w:rFonts w:ascii="仿宋" w:hAnsi="仿宋" w:eastAsia="仿宋" w:cs="Arial"/>
          <w:sz w:val="28"/>
          <w:szCs w:val="30"/>
        </w:rPr>
        <w:t>（</w:t>
      </w:r>
      <w:r>
        <w:rPr>
          <w:rFonts w:hint="eastAsia" w:ascii="仿宋" w:hAnsi="仿宋" w:eastAsia="仿宋" w:cs="Arial"/>
          <w:sz w:val="28"/>
          <w:szCs w:val="30"/>
        </w:rPr>
        <w:t>三</w:t>
      </w:r>
      <w:r>
        <w:rPr>
          <w:rFonts w:ascii="仿宋" w:hAnsi="仿宋" w:eastAsia="仿宋" w:cs="Arial"/>
          <w:sz w:val="28"/>
          <w:szCs w:val="30"/>
        </w:rPr>
        <w:t>）指导教师须知</w:t>
      </w:r>
    </w:p>
    <w:p>
      <w:pPr>
        <w:spacing w:line="560" w:lineRule="exact"/>
        <w:ind w:firstLine="600"/>
        <w:rPr>
          <w:rFonts w:ascii="仿宋" w:hAnsi="仿宋" w:eastAsia="仿宋"/>
          <w:sz w:val="28"/>
          <w:szCs w:val="28"/>
        </w:rPr>
      </w:pPr>
      <w:r>
        <w:rPr>
          <w:rFonts w:ascii="仿宋" w:hAnsi="仿宋" w:eastAsia="仿宋"/>
          <w:sz w:val="28"/>
          <w:szCs w:val="28"/>
        </w:rPr>
        <w:t>1.各参赛代表队要发扬良好道德风尚，听从指挥，服从裁判，不弄虚作假。如发现弄虚作假者，取消参赛资格，名次无效。</w:t>
      </w:r>
    </w:p>
    <w:p>
      <w:pPr>
        <w:spacing w:line="560" w:lineRule="exact"/>
        <w:ind w:firstLine="600"/>
        <w:rPr>
          <w:rFonts w:ascii="仿宋" w:hAnsi="仿宋" w:eastAsia="仿宋"/>
          <w:sz w:val="28"/>
          <w:szCs w:val="28"/>
        </w:rPr>
      </w:pPr>
      <w:r>
        <w:rPr>
          <w:rFonts w:ascii="仿宋" w:hAnsi="仿宋" w:eastAsia="仿宋"/>
          <w:sz w:val="28"/>
          <w:szCs w:val="28"/>
        </w:rPr>
        <w:t>2.各代表队领队要坚决执行竞赛的各项规定，加强对参赛人员的管理，做好赛前准备工作，督促选手带好证件等竞赛相关材料。</w:t>
      </w:r>
    </w:p>
    <w:p>
      <w:pPr>
        <w:spacing w:line="560" w:lineRule="exact"/>
        <w:ind w:firstLine="600"/>
        <w:rPr>
          <w:rFonts w:ascii="仿宋" w:hAnsi="仿宋" w:eastAsia="仿宋"/>
          <w:sz w:val="28"/>
          <w:szCs w:val="28"/>
        </w:rPr>
      </w:pPr>
      <w:r>
        <w:rPr>
          <w:rFonts w:ascii="仿宋" w:hAnsi="仿宋" w:eastAsia="仿宋"/>
          <w:sz w:val="28"/>
          <w:szCs w:val="28"/>
        </w:rPr>
        <w:t>3.竞赛过程中，除参加当场次竞赛的选手、执行裁判员、现场工作人员和经批准的人员外，领队、指导教师及其他人员一律不得进入竞赛现场。</w:t>
      </w:r>
    </w:p>
    <w:p>
      <w:pPr>
        <w:spacing w:line="560" w:lineRule="exact"/>
        <w:ind w:firstLine="600"/>
        <w:rPr>
          <w:rFonts w:ascii="仿宋" w:hAnsi="仿宋" w:eastAsia="仿宋"/>
          <w:sz w:val="28"/>
          <w:szCs w:val="28"/>
        </w:rPr>
      </w:pPr>
      <w:r>
        <w:rPr>
          <w:rFonts w:ascii="仿宋" w:hAnsi="仿宋" w:eastAsia="仿宋"/>
          <w:sz w:val="28"/>
          <w:szCs w:val="28"/>
        </w:rPr>
        <w:t>4.参赛代表队若对竞赛过程有异议，在规定的时间内由领队向赛项仲裁工作组提出书面报告。</w:t>
      </w:r>
    </w:p>
    <w:p>
      <w:pPr>
        <w:spacing w:line="560" w:lineRule="exact"/>
        <w:ind w:firstLine="600"/>
        <w:rPr>
          <w:rFonts w:ascii="仿宋" w:hAnsi="仿宋" w:eastAsia="仿宋"/>
          <w:sz w:val="28"/>
          <w:szCs w:val="28"/>
        </w:rPr>
      </w:pPr>
      <w:r>
        <w:rPr>
          <w:rFonts w:ascii="仿宋" w:hAnsi="仿宋" w:eastAsia="仿宋"/>
          <w:sz w:val="28"/>
          <w:szCs w:val="28"/>
        </w:rPr>
        <w:t>5.对申诉的仲裁结果，领队要带头服从和执行，并做好选手工作。参赛选手不得因申诉或对处理意见不服而停止竞赛，否则以弃权处理。</w:t>
      </w:r>
    </w:p>
    <w:p>
      <w:pPr>
        <w:spacing w:line="560" w:lineRule="exact"/>
        <w:ind w:firstLine="600"/>
        <w:rPr>
          <w:rFonts w:ascii="仿宋" w:hAnsi="仿宋" w:eastAsia="仿宋"/>
          <w:sz w:val="28"/>
          <w:szCs w:val="28"/>
        </w:rPr>
      </w:pPr>
      <w:r>
        <w:rPr>
          <w:rFonts w:ascii="仿宋" w:hAnsi="仿宋" w:eastAsia="仿宋"/>
          <w:sz w:val="28"/>
          <w:szCs w:val="28"/>
        </w:rPr>
        <w:t>6.指导老师应及时查看</w:t>
      </w:r>
      <w:r>
        <w:rPr>
          <w:rFonts w:hint="eastAsia" w:ascii="仿宋" w:hAnsi="仿宋" w:eastAsia="仿宋"/>
          <w:sz w:val="28"/>
          <w:szCs w:val="28"/>
        </w:rPr>
        <w:t>赛事</w:t>
      </w:r>
      <w:r>
        <w:rPr>
          <w:rFonts w:ascii="仿宋" w:hAnsi="仿宋" w:eastAsia="仿宋"/>
          <w:sz w:val="28"/>
          <w:szCs w:val="28"/>
        </w:rPr>
        <w:t>的通知和内容，认真研究和掌握本赛项竞赛的规程、技术规范和赛场要求，指导选手做好赛前的一切技术准备和竞赛准备。</w:t>
      </w:r>
    </w:p>
    <w:p>
      <w:pPr>
        <w:snapToGrid w:val="0"/>
        <w:spacing w:line="560" w:lineRule="exact"/>
        <w:ind w:firstLine="560" w:firstLineChars="200"/>
        <w:outlineLvl w:val="0"/>
        <w:rPr>
          <w:rFonts w:ascii="仿宋" w:hAnsi="仿宋" w:eastAsia="仿宋" w:cs="Arial"/>
          <w:sz w:val="28"/>
          <w:szCs w:val="30"/>
        </w:rPr>
      </w:pPr>
      <w:r>
        <w:rPr>
          <w:rFonts w:hint="eastAsia" w:ascii="仿宋" w:hAnsi="仿宋" w:eastAsia="仿宋" w:cs="Arial"/>
          <w:sz w:val="28"/>
          <w:szCs w:val="30"/>
        </w:rPr>
        <w:t>（四）参赛选手须知</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w:t>
      </w:r>
      <w:r>
        <w:rPr>
          <w:rFonts w:ascii="仿宋" w:hAnsi="仿宋" w:eastAsia="仿宋"/>
          <w:sz w:val="28"/>
          <w:szCs w:val="28"/>
        </w:rPr>
        <w:t>.</w:t>
      </w:r>
      <w:r>
        <w:rPr>
          <w:rFonts w:hint="eastAsia" w:ascii="仿宋" w:hAnsi="仿宋" w:eastAsia="仿宋" w:cs="Arial"/>
          <w:sz w:val="28"/>
          <w:szCs w:val="30"/>
        </w:rPr>
        <w:t>参赛选手应严格遵守赛场规章、操作规程和工艺准则，保证人身及设备安全，接受裁判员的监督和警示，文明竞赛。</w:t>
      </w:r>
    </w:p>
    <w:p>
      <w:pPr>
        <w:spacing w:line="560" w:lineRule="exact"/>
        <w:ind w:firstLine="600"/>
        <w:rPr>
          <w:rFonts w:ascii="仿宋" w:hAnsi="仿宋" w:eastAsia="仿宋" w:cs="Arial"/>
          <w:sz w:val="28"/>
          <w:szCs w:val="30"/>
        </w:rPr>
      </w:pPr>
      <w:r>
        <w:rPr>
          <w:rFonts w:hint="eastAsia" w:ascii="仿宋" w:hAnsi="仿宋" w:eastAsia="仿宋" w:cs="Arial"/>
          <w:sz w:val="28"/>
          <w:szCs w:val="30"/>
        </w:rPr>
        <w:t>2</w:t>
      </w:r>
      <w:r>
        <w:rPr>
          <w:rFonts w:ascii="仿宋" w:hAnsi="仿宋" w:eastAsia="仿宋"/>
          <w:sz w:val="28"/>
          <w:szCs w:val="28"/>
        </w:rPr>
        <w:t>.</w:t>
      </w:r>
      <w:r>
        <w:rPr>
          <w:rFonts w:hint="eastAsia" w:ascii="仿宋" w:hAnsi="仿宋" w:eastAsia="仿宋" w:cs="Arial"/>
          <w:sz w:val="28"/>
          <w:szCs w:val="30"/>
        </w:rPr>
        <w:t>参赛选手应按照规定时间抵达赛场，凭身份证、学生证，以及统一发放的参赛证，完成入场检录、抽签确定竞赛工位号，不得迟到早退。</w:t>
      </w:r>
    </w:p>
    <w:p>
      <w:pPr>
        <w:spacing w:line="560" w:lineRule="exact"/>
        <w:ind w:firstLine="600"/>
        <w:rPr>
          <w:rFonts w:ascii="仿宋" w:hAnsi="仿宋" w:eastAsia="仿宋" w:cs="Arial"/>
          <w:sz w:val="28"/>
          <w:szCs w:val="30"/>
        </w:rPr>
      </w:pPr>
      <w:r>
        <w:rPr>
          <w:rFonts w:hint="eastAsia" w:ascii="仿宋" w:hAnsi="仿宋" w:eastAsia="仿宋" w:cs="Arial"/>
          <w:sz w:val="28"/>
          <w:szCs w:val="30"/>
        </w:rPr>
        <w:t>3</w:t>
      </w:r>
      <w:r>
        <w:rPr>
          <w:rFonts w:ascii="仿宋" w:hAnsi="仿宋" w:eastAsia="仿宋"/>
          <w:sz w:val="28"/>
          <w:szCs w:val="28"/>
        </w:rPr>
        <w:t>.</w:t>
      </w:r>
      <w:r>
        <w:rPr>
          <w:rFonts w:hint="eastAsia" w:ascii="仿宋" w:hAnsi="仿宋" w:eastAsia="仿宋" w:cs="Arial"/>
          <w:sz w:val="28"/>
          <w:szCs w:val="30"/>
        </w:rPr>
        <w:t>参赛选手进入赛场前，须将身份证、学生证、参赛证交由检录人员统一保管，不得带入场内。</w:t>
      </w:r>
    </w:p>
    <w:p>
      <w:pPr>
        <w:spacing w:line="560" w:lineRule="exact"/>
        <w:ind w:firstLine="600"/>
        <w:rPr>
          <w:rFonts w:ascii="仿宋" w:hAnsi="仿宋" w:eastAsia="仿宋" w:cs="Arial"/>
          <w:sz w:val="28"/>
          <w:szCs w:val="30"/>
        </w:rPr>
      </w:pPr>
      <w:r>
        <w:rPr>
          <w:rFonts w:hint="eastAsia" w:ascii="仿宋" w:hAnsi="仿宋" w:eastAsia="仿宋" w:cs="Arial"/>
          <w:sz w:val="28"/>
          <w:szCs w:val="30"/>
        </w:rPr>
        <w:t>4</w:t>
      </w:r>
      <w:r>
        <w:rPr>
          <w:rFonts w:ascii="仿宋" w:hAnsi="仿宋" w:eastAsia="仿宋"/>
          <w:sz w:val="28"/>
          <w:szCs w:val="28"/>
        </w:rPr>
        <w:t>.</w:t>
      </w:r>
      <w:r>
        <w:rPr>
          <w:rFonts w:hint="eastAsia" w:ascii="仿宋" w:hAnsi="仿宋" w:eastAsia="仿宋" w:cs="Arial"/>
          <w:sz w:val="28"/>
          <w:szCs w:val="30"/>
        </w:rPr>
        <w:t>参赛选手凭竞赛工位号进入赛场，不允许携带任何电子设备及其他资料、用品。</w:t>
      </w:r>
    </w:p>
    <w:p>
      <w:pPr>
        <w:spacing w:line="560" w:lineRule="exact"/>
        <w:ind w:firstLine="600"/>
        <w:rPr>
          <w:rFonts w:ascii="仿宋" w:hAnsi="仿宋" w:eastAsia="仿宋" w:cs="Arial"/>
          <w:sz w:val="28"/>
          <w:szCs w:val="30"/>
        </w:rPr>
      </w:pPr>
      <w:r>
        <w:rPr>
          <w:rFonts w:hint="eastAsia" w:ascii="仿宋" w:hAnsi="仿宋" w:eastAsia="仿宋" w:cs="Arial"/>
          <w:sz w:val="28"/>
          <w:szCs w:val="30"/>
        </w:rPr>
        <w:t>5</w:t>
      </w:r>
      <w:r>
        <w:rPr>
          <w:rFonts w:ascii="仿宋" w:hAnsi="仿宋" w:eastAsia="仿宋"/>
          <w:sz w:val="28"/>
          <w:szCs w:val="28"/>
        </w:rPr>
        <w:t>.</w:t>
      </w:r>
      <w:r>
        <w:rPr>
          <w:rFonts w:hint="eastAsia" w:ascii="仿宋" w:hAnsi="仿宋" w:eastAsia="仿宋" w:cs="Arial"/>
          <w:sz w:val="28"/>
          <w:szCs w:val="30"/>
        </w:rPr>
        <w:t>参赛选手应在规定的时间段进入赛场，认真核对竞赛工位号，在指定位置就座。</w:t>
      </w:r>
    </w:p>
    <w:p>
      <w:pPr>
        <w:spacing w:line="560" w:lineRule="exact"/>
        <w:ind w:firstLine="600"/>
        <w:rPr>
          <w:rFonts w:ascii="仿宋" w:hAnsi="仿宋" w:eastAsia="仿宋" w:cs="Arial"/>
          <w:sz w:val="28"/>
          <w:szCs w:val="30"/>
        </w:rPr>
      </w:pPr>
      <w:r>
        <w:rPr>
          <w:rFonts w:hint="eastAsia" w:ascii="仿宋" w:hAnsi="仿宋" w:eastAsia="仿宋" w:cs="Arial"/>
          <w:sz w:val="28"/>
          <w:szCs w:val="30"/>
        </w:rPr>
        <w:t>6</w:t>
      </w:r>
      <w:r>
        <w:rPr>
          <w:rFonts w:ascii="仿宋" w:hAnsi="仿宋" w:eastAsia="仿宋"/>
          <w:sz w:val="28"/>
          <w:szCs w:val="28"/>
        </w:rPr>
        <w:t>.</w:t>
      </w:r>
      <w:r>
        <w:rPr>
          <w:rFonts w:hint="eastAsia" w:ascii="仿宋" w:hAnsi="仿宋" w:eastAsia="仿宋" w:cs="Arial"/>
          <w:sz w:val="28"/>
          <w:szCs w:val="30"/>
        </w:rPr>
        <w:t>参赛选手入场后，迅速确认竞赛设备状况，填写相关确认文件，并由参赛队长确认签字（竞赛工位号）。</w:t>
      </w:r>
    </w:p>
    <w:p>
      <w:pPr>
        <w:spacing w:line="560" w:lineRule="exact"/>
        <w:ind w:firstLine="600"/>
        <w:rPr>
          <w:rFonts w:ascii="仿宋" w:hAnsi="仿宋" w:eastAsia="仿宋" w:cs="Arial"/>
          <w:sz w:val="28"/>
          <w:szCs w:val="30"/>
        </w:rPr>
      </w:pPr>
      <w:r>
        <w:rPr>
          <w:rFonts w:hint="eastAsia" w:ascii="仿宋" w:hAnsi="仿宋" w:eastAsia="仿宋" w:cs="Arial"/>
          <w:sz w:val="28"/>
          <w:szCs w:val="30"/>
        </w:rPr>
        <w:t>7</w:t>
      </w:r>
      <w:r>
        <w:rPr>
          <w:rFonts w:ascii="仿宋" w:hAnsi="仿宋" w:eastAsia="仿宋"/>
          <w:sz w:val="28"/>
          <w:szCs w:val="28"/>
        </w:rPr>
        <w:t>.</w:t>
      </w:r>
      <w:r>
        <w:rPr>
          <w:rFonts w:hint="eastAsia" w:ascii="仿宋" w:hAnsi="仿宋" w:eastAsia="仿宋" w:cs="Arial"/>
          <w:sz w:val="28"/>
          <w:szCs w:val="30"/>
        </w:rPr>
        <w:t>参赛选手在收到开赛信号前不得启动操作。在竞赛过程中，确因计算机软件或硬件故障，致使操作无法继续的，经裁判长确认，予以启用备用计算机。</w:t>
      </w:r>
    </w:p>
    <w:p>
      <w:pPr>
        <w:spacing w:line="560" w:lineRule="exact"/>
        <w:ind w:firstLine="600"/>
        <w:rPr>
          <w:rFonts w:ascii="仿宋" w:hAnsi="仿宋" w:eastAsia="仿宋" w:cs="Arial"/>
          <w:sz w:val="28"/>
          <w:szCs w:val="30"/>
        </w:rPr>
      </w:pPr>
      <w:r>
        <w:rPr>
          <w:rFonts w:hint="eastAsia" w:ascii="仿宋" w:hAnsi="仿宋" w:eastAsia="仿宋" w:cs="Arial"/>
          <w:sz w:val="28"/>
          <w:szCs w:val="30"/>
        </w:rPr>
        <w:t>8</w:t>
      </w:r>
      <w:r>
        <w:rPr>
          <w:rFonts w:ascii="仿宋" w:hAnsi="仿宋" w:eastAsia="仿宋"/>
          <w:sz w:val="28"/>
          <w:szCs w:val="28"/>
        </w:rPr>
        <w:t>.</w:t>
      </w:r>
      <w:r>
        <w:rPr>
          <w:rFonts w:hint="eastAsia" w:ascii="仿宋" w:hAnsi="仿宋" w:eastAsia="仿宋" w:cs="Arial"/>
          <w:sz w:val="28"/>
          <w:szCs w:val="30"/>
        </w:rPr>
        <w:t>赛项相关资料，均保存在操作系统桌面中。参赛选手应在竞赛规定时间内完成内容，将相应的文档等存储上传到指定位置。</w:t>
      </w:r>
    </w:p>
    <w:p>
      <w:pPr>
        <w:spacing w:line="560" w:lineRule="exact"/>
        <w:ind w:firstLine="600"/>
        <w:rPr>
          <w:rFonts w:ascii="仿宋" w:hAnsi="仿宋" w:eastAsia="仿宋" w:cs="Arial"/>
          <w:sz w:val="28"/>
          <w:szCs w:val="30"/>
        </w:rPr>
      </w:pPr>
      <w:r>
        <w:rPr>
          <w:rFonts w:hint="eastAsia" w:ascii="仿宋" w:hAnsi="仿宋" w:eastAsia="仿宋" w:cs="Arial"/>
          <w:sz w:val="28"/>
          <w:szCs w:val="30"/>
        </w:rPr>
        <w:t>9</w:t>
      </w:r>
      <w:r>
        <w:rPr>
          <w:rFonts w:ascii="仿宋" w:hAnsi="仿宋" w:eastAsia="仿宋"/>
          <w:sz w:val="28"/>
          <w:szCs w:val="28"/>
        </w:rPr>
        <w:t>.</w:t>
      </w:r>
      <w:r>
        <w:rPr>
          <w:rFonts w:hint="eastAsia" w:ascii="仿宋" w:hAnsi="仿宋" w:eastAsia="仿宋" w:cs="Arial"/>
          <w:sz w:val="28"/>
          <w:szCs w:val="30"/>
        </w:rPr>
        <w:t>参赛选手需及时保存工作记录，以防止因操作系统异常及其他设备异常造成的数据丢失。对于因各种原因造成的数据丢失，由参赛选手自行负责。</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10</w:t>
      </w:r>
      <w:r>
        <w:rPr>
          <w:rFonts w:ascii="仿宋" w:hAnsi="仿宋" w:eastAsia="仿宋"/>
          <w:sz w:val="28"/>
          <w:szCs w:val="28"/>
        </w:rPr>
        <w:t>.</w:t>
      </w:r>
      <w:r>
        <w:rPr>
          <w:rFonts w:hint="eastAsia" w:ascii="仿宋" w:hAnsi="仿宋" w:eastAsia="仿宋" w:cs="Arial"/>
          <w:sz w:val="28"/>
          <w:szCs w:val="30"/>
        </w:rPr>
        <w:t>参赛队所提交的答卷采用竞赛工位号进行标识，不得出现地名、校名、姓名、参赛证编号等信息，否则取消竞赛成绩。</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11</w:t>
      </w:r>
      <w:r>
        <w:rPr>
          <w:rFonts w:ascii="仿宋" w:hAnsi="仿宋" w:eastAsia="仿宋"/>
          <w:sz w:val="28"/>
          <w:szCs w:val="28"/>
        </w:rPr>
        <w:t>.</w:t>
      </w:r>
      <w:r>
        <w:rPr>
          <w:rFonts w:hint="eastAsia" w:ascii="仿宋" w:hAnsi="仿宋" w:eastAsia="仿宋" w:cs="Arial"/>
          <w:sz w:val="28"/>
          <w:szCs w:val="30"/>
        </w:rPr>
        <w:t>竞赛过程中，因严重操作失误或安全事故不能进行比赛的（例如因操作原因发生短路导致赛场断电的、造成设备不能正常工作的），现场裁判员有权中止该队比赛。</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12</w:t>
      </w:r>
      <w:r>
        <w:rPr>
          <w:rFonts w:ascii="仿宋" w:hAnsi="仿宋" w:eastAsia="仿宋"/>
          <w:sz w:val="28"/>
          <w:szCs w:val="28"/>
        </w:rPr>
        <w:t>.</w:t>
      </w:r>
      <w:r>
        <w:rPr>
          <w:rFonts w:hint="eastAsia" w:ascii="仿宋" w:hAnsi="仿宋" w:eastAsia="仿宋" w:cs="Arial"/>
          <w:sz w:val="28"/>
          <w:szCs w:val="30"/>
        </w:rPr>
        <w:t>参赛期间，选手连续工作，餐饮等由赛场统一提供。选手休息、就餐和如厕时间均计算在比赛时间内。</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13</w:t>
      </w:r>
      <w:r>
        <w:rPr>
          <w:rFonts w:ascii="仿宋" w:hAnsi="仿宋" w:eastAsia="仿宋"/>
          <w:sz w:val="28"/>
          <w:szCs w:val="28"/>
        </w:rPr>
        <w:t>.</w:t>
      </w:r>
      <w:r>
        <w:rPr>
          <w:rFonts w:hint="eastAsia" w:ascii="仿宋" w:hAnsi="仿宋" w:eastAsia="仿宋" w:cs="Arial"/>
          <w:sz w:val="28"/>
          <w:szCs w:val="30"/>
        </w:rPr>
        <w:t xml:space="preserve">在参赛期间，选手应注意保持工作环境及设备摆放符合生产操作规程。 </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14</w:t>
      </w:r>
      <w:r>
        <w:rPr>
          <w:rFonts w:ascii="仿宋" w:hAnsi="仿宋" w:eastAsia="仿宋"/>
          <w:sz w:val="28"/>
          <w:szCs w:val="28"/>
        </w:rPr>
        <w:t>.</w:t>
      </w:r>
      <w:r>
        <w:rPr>
          <w:rFonts w:hint="eastAsia" w:ascii="仿宋" w:hAnsi="仿宋" w:eastAsia="仿宋" w:cs="Arial"/>
          <w:sz w:val="28"/>
          <w:szCs w:val="30"/>
        </w:rPr>
        <w:t>在比赛中如遇非人为因素造成的设备故障，经裁判确认后，可向裁判长申请补足排除故障的时间。</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15</w:t>
      </w:r>
      <w:r>
        <w:rPr>
          <w:rFonts w:ascii="仿宋" w:hAnsi="仿宋" w:eastAsia="仿宋"/>
          <w:sz w:val="28"/>
          <w:szCs w:val="28"/>
        </w:rPr>
        <w:t>.</w:t>
      </w:r>
      <w:r>
        <w:rPr>
          <w:rFonts w:hint="eastAsia" w:ascii="仿宋" w:hAnsi="仿宋" w:eastAsia="仿宋" w:cs="Arial"/>
          <w:sz w:val="28"/>
          <w:szCs w:val="30"/>
        </w:rPr>
        <w:t>参赛选手不得因各种原因提前结束比赛。如确因不可抗因素需要离开赛场的，须向现场裁判员举手示意，经裁判员许可并完成记录后，方可离开。</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16</w:t>
      </w:r>
      <w:r>
        <w:rPr>
          <w:rFonts w:ascii="仿宋" w:hAnsi="仿宋" w:eastAsia="仿宋"/>
          <w:sz w:val="28"/>
          <w:szCs w:val="28"/>
        </w:rPr>
        <w:t>.</w:t>
      </w:r>
      <w:r>
        <w:rPr>
          <w:rFonts w:hint="eastAsia" w:ascii="仿宋" w:hAnsi="仿宋" w:eastAsia="仿宋" w:cs="Arial"/>
          <w:sz w:val="28"/>
          <w:szCs w:val="30"/>
        </w:rPr>
        <w:t>凡在竞赛期间内提前离开的选手，不得返回赛场。</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17</w:t>
      </w:r>
      <w:r>
        <w:rPr>
          <w:rFonts w:ascii="仿宋" w:hAnsi="仿宋" w:eastAsia="仿宋"/>
          <w:sz w:val="28"/>
          <w:szCs w:val="28"/>
        </w:rPr>
        <w:t>.</w:t>
      </w:r>
      <w:r>
        <w:rPr>
          <w:rFonts w:hint="eastAsia" w:ascii="仿宋" w:hAnsi="仿宋" w:eastAsia="仿宋" w:cs="Arial"/>
          <w:sz w:val="28"/>
          <w:szCs w:val="30"/>
        </w:rPr>
        <w:t>竞赛操作结束后，参赛选手需要根据任务书要求，将相关成果文件存至电脑，填写结束比赛相关确认文件，并由参赛队长签字确认（竞赛工位号）。因参赛选手未能按要求，将相应的文档等上传到平台指定位置，竞赛成绩计为零分。</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18</w:t>
      </w:r>
      <w:r>
        <w:rPr>
          <w:rFonts w:ascii="仿宋" w:hAnsi="仿宋" w:eastAsia="仿宋"/>
          <w:sz w:val="28"/>
          <w:szCs w:val="28"/>
        </w:rPr>
        <w:t>.</w:t>
      </w:r>
      <w:r>
        <w:rPr>
          <w:rFonts w:hint="eastAsia" w:ascii="仿宋" w:hAnsi="仿宋" w:eastAsia="仿宋" w:cs="Arial"/>
          <w:sz w:val="28"/>
          <w:szCs w:val="30"/>
        </w:rPr>
        <w:t>竞赛时间终了，选手应全体起立，结束操作。将资料和工具整齐摆放在操作平台上，经工作人员清点后可离开赛场，离开赛场时不得带走任何资料。</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19</w:t>
      </w:r>
      <w:r>
        <w:rPr>
          <w:rFonts w:ascii="仿宋" w:hAnsi="仿宋" w:eastAsia="仿宋"/>
          <w:sz w:val="28"/>
          <w:szCs w:val="28"/>
        </w:rPr>
        <w:t>.</w:t>
      </w:r>
      <w:r>
        <w:rPr>
          <w:rFonts w:hint="eastAsia" w:ascii="仿宋" w:hAnsi="仿宋" w:eastAsia="仿宋" w:cs="Arial"/>
          <w:sz w:val="28"/>
          <w:szCs w:val="30"/>
        </w:rPr>
        <w:t>在竞赛期间，未经执委会批准，参赛选手不得接受其他单位和个人进行的与竞赛内容相关的采访。参赛选手不得将竞赛的相关信息私自公布。</w:t>
      </w:r>
    </w:p>
    <w:p>
      <w:pPr>
        <w:spacing w:line="560" w:lineRule="exact"/>
        <w:ind w:firstLine="600"/>
        <w:rPr>
          <w:rFonts w:ascii="仿宋" w:hAnsi="仿宋" w:eastAsia="仿宋" w:cs="Arial"/>
          <w:sz w:val="28"/>
          <w:szCs w:val="30"/>
        </w:rPr>
      </w:pPr>
      <w:r>
        <w:rPr>
          <w:rFonts w:hint="eastAsia" w:ascii="仿宋" w:hAnsi="仿宋" w:eastAsia="仿宋" w:cs="Arial"/>
          <w:sz w:val="28"/>
          <w:szCs w:val="30"/>
        </w:rPr>
        <w:t>20</w:t>
      </w:r>
      <w:r>
        <w:rPr>
          <w:rFonts w:ascii="仿宋" w:hAnsi="仿宋" w:eastAsia="仿宋"/>
          <w:sz w:val="28"/>
          <w:szCs w:val="28"/>
        </w:rPr>
        <w:t>.</w:t>
      </w:r>
      <w:r>
        <w:rPr>
          <w:rFonts w:hint="eastAsia" w:ascii="仿宋" w:hAnsi="仿宋" w:eastAsia="仿宋" w:cs="Arial"/>
          <w:sz w:val="28"/>
          <w:szCs w:val="30"/>
        </w:rPr>
        <w:t>符合下列情形之一的参赛选手，经裁判组裁定后中止其竞赛:</w:t>
      </w:r>
    </w:p>
    <w:p>
      <w:pPr>
        <w:spacing w:line="560" w:lineRule="exact"/>
        <w:ind w:firstLine="600"/>
        <w:rPr>
          <w:rFonts w:ascii="仿宋" w:hAnsi="仿宋" w:eastAsia="仿宋" w:cs="Arial"/>
          <w:sz w:val="28"/>
          <w:szCs w:val="30"/>
        </w:rPr>
      </w:pPr>
      <w:r>
        <w:rPr>
          <w:rFonts w:hint="eastAsia" w:ascii="仿宋" w:hAnsi="仿宋" w:eastAsia="仿宋" w:cs="Arial"/>
          <w:sz w:val="28"/>
          <w:szCs w:val="30"/>
        </w:rPr>
        <w:t>（1）不服从裁判员</w:t>
      </w:r>
      <w:r>
        <w:rPr>
          <w:rFonts w:ascii="仿宋" w:hAnsi="仿宋" w:eastAsia="仿宋" w:cs="Arial"/>
          <w:sz w:val="28"/>
          <w:szCs w:val="30"/>
        </w:rPr>
        <w:t>、</w:t>
      </w:r>
      <w:r>
        <w:rPr>
          <w:rFonts w:hint="eastAsia" w:ascii="仿宋" w:hAnsi="仿宋" w:eastAsia="仿宋" w:cs="Arial"/>
          <w:sz w:val="28"/>
          <w:szCs w:val="30"/>
        </w:rPr>
        <w:t>监考员管理、扰乱赛场秩序、干扰其他参赛选手比赛，裁判员应提出警告，二次警告后无效，或情节特别严重，造成竞赛中止的，经裁判长确认，中止比赛，并取消竞赛资格和竞赛成绩。</w:t>
      </w:r>
    </w:p>
    <w:p>
      <w:pPr>
        <w:spacing w:line="560" w:lineRule="exact"/>
        <w:ind w:firstLine="600"/>
        <w:rPr>
          <w:rFonts w:ascii="仿宋" w:hAnsi="仿宋" w:eastAsia="仿宋" w:cs="Arial"/>
          <w:sz w:val="28"/>
          <w:szCs w:val="30"/>
        </w:rPr>
      </w:pPr>
      <w:r>
        <w:rPr>
          <w:rFonts w:hint="eastAsia" w:ascii="仿宋" w:hAnsi="仿宋" w:eastAsia="仿宋" w:cs="Arial"/>
          <w:sz w:val="28"/>
          <w:szCs w:val="30"/>
        </w:rPr>
        <w:t>（2）竞赛过程中，由于选手人为造成计算机、仪器设备及工具等严重损坏，负责赔偿其损失，并由裁判组裁定其竞赛结束与否、是否保留竞赛资格、是否累计其有效竞赛成绩。</w:t>
      </w:r>
    </w:p>
    <w:p>
      <w:pPr>
        <w:spacing w:line="560" w:lineRule="exact"/>
        <w:ind w:firstLine="600"/>
        <w:rPr>
          <w:rFonts w:ascii="仿宋" w:hAnsi="仿宋" w:eastAsia="仿宋" w:cs="Arial"/>
          <w:sz w:val="28"/>
          <w:szCs w:val="30"/>
        </w:rPr>
      </w:pPr>
      <w:r>
        <w:rPr>
          <w:rFonts w:hint="eastAsia" w:ascii="仿宋" w:hAnsi="仿宋" w:eastAsia="仿宋" w:cs="Arial"/>
          <w:sz w:val="28"/>
          <w:szCs w:val="30"/>
        </w:rPr>
        <w:t>（3）竞赛过程中，产生重大安全事故、或有产生重大安全事故隐患，经裁判员提示没有采取措施的，裁判员可暂停其竞赛，由裁判组裁定其竞赛结束，保留竞赛资格和有效竞赛成绩。</w:t>
      </w:r>
    </w:p>
    <w:p>
      <w:pPr>
        <w:snapToGrid w:val="0"/>
        <w:spacing w:line="560" w:lineRule="exact"/>
        <w:ind w:firstLine="560" w:firstLineChars="200"/>
        <w:outlineLvl w:val="0"/>
        <w:rPr>
          <w:rFonts w:ascii="仿宋" w:hAnsi="仿宋" w:eastAsia="仿宋" w:cs="Arial"/>
          <w:sz w:val="28"/>
          <w:szCs w:val="30"/>
        </w:rPr>
      </w:pPr>
      <w:r>
        <w:rPr>
          <w:rFonts w:hint="eastAsia" w:ascii="仿宋" w:hAnsi="仿宋" w:eastAsia="仿宋" w:cs="Arial"/>
          <w:sz w:val="28"/>
          <w:szCs w:val="30"/>
        </w:rPr>
        <w:t>（五）工作人员须知</w:t>
      </w:r>
    </w:p>
    <w:p>
      <w:pPr>
        <w:spacing w:line="560" w:lineRule="exact"/>
        <w:ind w:firstLine="600"/>
        <w:rPr>
          <w:rFonts w:ascii="仿宋" w:hAnsi="仿宋" w:eastAsia="仿宋" w:cs="Arial"/>
          <w:sz w:val="28"/>
          <w:szCs w:val="30"/>
        </w:rPr>
      </w:pPr>
      <w:r>
        <w:rPr>
          <w:rFonts w:ascii="仿宋" w:hAnsi="仿宋" w:eastAsia="仿宋" w:cs="Arial"/>
          <w:sz w:val="28"/>
          <w:szCs w:val="30"/>
        </w:rPr>
        <w:t>1</w:t>
      </w:r>
      <w:r>
        <w:rPr>
          <w:rFonts w:ascii="仿宋" w:hAnsi="仿宋" w:eastAsia="仿宋"/>
          <w:sz w:val="28"/>
          <w:szCs w:val="28"/>
        </w:rPr>
        <w:t>.</w:t>
      </w:r>
      <w:r>
        <w:rPr>
          <w:rFonts w:hint="eastAsia" w:ascii="仿宋" w:hAnsi="仿宋" w:eastAsia="仿宋" w:cs="Arial"/>
          <w:sz w:val="28"/>
          <w:szCs w:val="30"/>
        </w:rPr>
        <w:t>赛场工作人员由赛项执委会统一聘用并进行工作分工，进入竞赛现场须佩戴组委会统一提供的吊牌。</w:t>
      </w:r>
    </w:p>
    <w:p>
      <w:pPr>
        <w:spacing w:line="560" w:lineRule="exact"/>
        <w:ind w:firstLine="600"/>
        <w:rPr>
          <w:rFonts w:ascii="仿宋" w:hAnsi="仿宋" w:eastAsia="仿宋" w:cs="Arial"/>
          <w:sz w:val="28"/>
          <w:szCs w:val="30"/>
        </w:rPr>
      </w:pPr>
      <w:r>
        <w:rPr>
          <w:rFonts w:ascii="仿宋" w:hAnsi="仿宋" w:eastAsia="仿宋" w:cs="Arial"/>
          <w:sz w:val="28"/>
          <w:szCs w:val="30"/>
        </w:rPr>
        <w:t>2</w:t>
      </w:r>
      <w:r>
        <w:rPr>
          <w:rFonts w:ascii="仿宋" w:hAnsi="仿宋" w:eastAsia="仿宋"/>
          <w:sz w:val="28"/>
          <w:szCs w:val="28"/>
        </w:rPr>
        <w:t>.</w:t>
      </w:r>
      <w:r>
        <w:rPr>
          <w:rFonts w:hint="eastAsia" w:ascii="仿宋" w:hAnsi="仿宋" w:eastAsia="仿宋" w:cs="Arial"/>
          <w:sz w:val="28"/>
          <w:szCs w:val="30"/>
        </w:rPr>
        <w:t>赛场工作人员需服从赛项执委会的管理，严格执行赛项执委会制订的各项比赛规则，执行赛项执委会的工作安排，积极维护好赛场秩序，坚守岗位，为赛场提供有序的服务。</w:t>
      </w:r>
    </w:p>
    <w:p>
      <w:pPr>
        <w:spacing w:line="560" w:lineRule="exact"/>
        <w:ind w:firstLine="600"/>
        <w:rPr>
          <w:rFonts w:ascii="仿宋" w:hAnsi="仿宋" w:eastAsia="仿宋" w:cs="Arial"/>
          <w:sz w:val="28"/>
          <w:szCs w:val="30"/>
        </w:rPr>
      </w:pPr>
      <w:r>
        <w:rPr>
          <w:rFonts w:ascii="仿宋" w:hAnsi="仿宋" w:eastAsia="仿宋" w:cs="Arial"/>
          <w:sz w:val="28"/>
          <w:szCs w:val="30"/>
        </w:rPr>
        <w:t>3</w:t>
      </w:r>
      <w:r>
        <w:rPr>
          <w:rFonts w:ascii="仿宋" w:hAnsi="仿宋" w:eastAsia="仿宋"/>
          <w:sz w:val="28"/>
          <w:szCs w:val="28"/>
        </w:rPr>
        <w:t>.</w:t>
      </w:r>
      <w:r>
        <w:rPr>
          <w:rFonts w:hint="eastAsia" w:ascii="仿宋" w:hAnsi="仿宋" w:eastAsia="仿宋" w:cs="Arial"/>
          <w:sz w:val="28"/>
          <w:szCs w:val="30"/>
        </w:rPr>
        <w:t>赛场工作人员进入现场，不得携带任何通讯工具或与竞赛无关的物品。</w:t>
      </w:r>
    </w:p>
    <w:p>
      <w:pPr>
        <w:spacing w:line="560" w:lineRule="exact"/>
        <w:ind w:firstLine="600"/>
        <w:rPr>
          <w:rFonts w:ascii="仿宋" w:hAnsi="仿宋" w:eastAsia="仿宋" w:cs="Arial"/>
          <w:sz w:val="28"/>
          <w:szCs w:val="30"/>
        </w:rPr>
      </w:pPr>
      <w:r>
        <w:rPr>
          <w:rFonts w:ascii="仿宋" w:hAnsi="仿宋" w:eastAsia="仿宋" w:cs="Arial"/>
          <w:sz w:val="28"/>
          <w:szCs w:val="30"/>
        </w:rPr>
        <w:t>4</w:t>
      </w:r>
      <w:r>
        <w:rPr>
          <w:rFonts w:ascii="仿宋" w:hAnsi="仿宋" w:eastAsia="仿宋"/>
          <w:sz w:val="28"/>
          <w:szCs w:val="28"/>
        </w:rPr>
        <w:t>.</w:t>
      </w:r>
      <w:r>
        <w:rPr>
          <w:rFonts w:hint="eastAsia" w:ascii="仿宋" w:hAnsi="仿宋" w:eastAsia="仿宋" w:cs="Arial"/>
          <w:sz w:val="28"/>
          <w:szCs w:val="30"/>
        </w:rPr>
        <w:t>参赛队进入赛场，现场裁判及赛场工作人员应按规定审查参赛选手带入赛场的物品，如发现不允许带入赛场的物品，交由参赛队随行人员保管，赛场不提供保管服务。</w:t>
      </w:r>
    </w:p>
    <w:p>
      <w:pPr>
        <w:spacing w:line="560" w:lineRule="exact"/>
        <w:ind w:firstLine="600"/>
        <w:rPr>
          <w:rFonts w:ascii="仿宋" w:hAnsi="仿宋" w:eastAsia="仿宋" w:cs="Arial"/>
          <w:sz w:val="28"/>
          <w:szCs w:val="30"/>
        </w:rPr>
      </w:pPr>
      <w:r>
        <w:rPr>
          <w:rFonts w:ascii="仿宋" w:hAnsi="仿宋" w:eastAsia="仿宋" w:cs="Arial"/>
          <w:sz w:val="28"/>
          <w:szCs w:val="30"/>
        </w:rPr>
        <w:t>5</w:t>
      </w:r>
      <w:r>
        <w:rPr>
          <w:rFonts w:ascii="仿宋" w:hAnsi="仿宋" w:eastAsia="仿宋"/>
          <w:sz w:val="28"/>
          <w:szCs w:val="28"/>
        </w:rPr>
        <w:t>.</w:t>
      </w:r>
      <w:r>
        <w:rPr>
          <w:rFonts w:hint="eastAsia" w:ascii="仿宋" w:hAnsi="仿宋" w:eastAsia="仿宋" w:cs="Arial"/>
          <w:sz w:val="28"/>
          <w:szCs w:val="30"/>
        </w:rPr>
        <w:t>赛场工作人员在竞赛过程中不回答选手提出的任何有关比赛技术问题，如遇争议问题，应及时报告裁判长。</w:t>
      </w:r>
    </w:p>
    <w:p>
      <w:pPr>
        <w:widowControl/>
        <w:spacing w:line="560" w:lineRule="exact"/>
        <w:ind w:firstLine="561" w:firstLineChars="200"/>
        <w:outlineLvl w:val="0"/>
        <w:rPr>
          <w:rFonts w:ascii="仿宋_GB2312" w:hAnsi="仿宋" w:eastAsia="仿宋_GB2312"/>
          <w:b/>
          <w:kern w:val="0"/>
          <w:sz w:val="28"/>
          <w:szCs w:val="28"/>
        </w:rPr>
      </w:pPr>
      <w:r>
        <w:rPr>
          <w:rFonts w:ascii="仿宋_GB2312" w:hAnsi="仿宋" w:eastAsia="仿宋_GB2312"/>
          <w:b/>
          <w:kern w:val="0"/>
          <w:sz w:val="28"/>
          <w:szCs w:val="28"/>
        </w:rPr>
        <w:t>十</w:t>
      </w:r>
      <w:r>
        <w:rPr>
          <w:rFonts w:hint="eastAsia" w:ascii="仿宋_GB2312" w:hAnsi="仿宋" w:eastAsia="仿宋_GB2312"/>
          <w:b/>
          <w:kern w:val="0"/>
          <w:sz w:val="28"/>
          <w:szCs w:val="28"/>
        </w:rPr>
        <w:t>五</w:t>
      </w:r>
      <w:r>
        <w:rPr>
          <w:rFonts w:ascii="仿宋_GB2312" w:hAnsi="仿宋" w:eastAsia="仿宋_GB2312"/>
          <w:b/>
          <w:kern w:val="0"/>
          <w:sz w:val="28"/>
          <w:szCs w:val="28"/>
        </w:rPr>
        <w:t>、申诉与仲裁</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1. 各参赛队对不符合大赛和赛项规程规定的仪器、设备、工装、材料、物件、计算机软硬件、竞赛使用工具、用品，竞赛执裁、赛场管理，以及工作人员的不规范行为等，可向赛项仲裁组提出申诉。申诉主体为参赛队领队。参赛队领队可在比赛结束后（选手赛场比赛内容全部完成）2小时之内向仲裁组提出书面申诉。      </w:t>
      </w:r>
    </w:p>
    <w:p>
      <w:pPr>
        <w:snapToGrid w:val="0"/>
        <w:spacing w:line="560" w:lineRule="exact"/>
        <w:ind w:firstLine="560" w:firstLineChars="200"/>
        <w:rPr>
          <w:rFonts w:ascii="仿宋" w:hAnsi="仿宋" w:eastAsia="仿宋" w:cs="Arial"/>
          <w:sz w:val="28"/>
          <w:szCs w:val="30"/>
        </w:rPr>
      </w:pPr>
      <w:r>
        <w:rPr>
          <w:rFonts w:hint="eastAsia" w:ascii="仿宋" w:hAnsi="仿宋" w:eastAsia="仿宋" w:cs="Arial"/>
          <w:sz w:val="28"/>
          <w:szCs w:val="30"/>
        </w:rPr>
        <w:t xml:space="preserve">2．书面申诉应对申诉事件的现象、发生时间、涉及人员、申诉依据等进行充分、实事求是的叙述，并由领队亲笔签名。非书面申诉不予受理。 </w:t>
      </w:r>
    </w:p>
    <w:p>
      <w:pPr>
        <w:widowControl/>
        <w:spacing w:line="560" w:lineRule="exact"/>
        <w:ind w:firstLine="561"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十六、竞赛观摩</w:t>
      </w:r>
    </w:p>
    <w:p>
      <w:pPr>
        <w:widowControl/>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媒体、行业专家等人员可以在赛事执委会批准，且竞赛不被干扰的前提下，沿现场指定观摩通道有组织地参观竞赛现场。观摩人员不得干扰竞赛过程，不得同参赛选手、裁判交流，不得传递信息，不得采录竞赛现场数据资料，不得影响比赛的正常进行。</w:t>
      </w:r>
    </w:p>
    <w:p>
      <w:pPr>
        <w:snapToGrid w:val="0"/>
        <w:spacing w:line="560" w:lineRule="exact"/>
        <w:ind w:firstLine="560" w:firstLineChars="200"/>
        <w:rPr>
          <w:rFonts w:ascii="仿宋" w:hAnsi="仿宋" w:eastAsia="仿宋" w:cs="Arial"/>
          <w:sz w:val="28"/>
          <w:szCs w:val="30"/>
        </w:rPr>
      </w:pPr>
    </w:p>
    <w:p>
      <w:pPr>
        <w:snapToGrid w:val="0"/>
        <w:spacing w:line="560" w:lineRule="exact"/>
        <w:ind w:firstLine="560" w:firstLineChars="200"/>
        <w:rPr>
          <w:rFonts w:ascii="仿宋" w:hAnsi="仿宋" w:eastAsia="仿宋" w:cs="Arial"/>
          <w:sz w:val="28"/>
          <w:szCs w:val="30"/>
        </w:rPr>
      </w:pPr>
    </w:p>
    <w:p>
      <w:pPr>
        <w:widowControl/>
        <w:snapToGrid w:val="0"/>
        <w:spacing w:line="560" w:lineRule="exact"/>
        <w:rPr>
          <w:rFonts w:ascii="仿宋_GB2312" w:hAnsi="仿宋" w:eastAsia="仿宋_GB2312"/>
          <w:b/>
          <w:kern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黑体">
    <w:altName w:val="汉仪中黑KW"/>
    <w:panose1 w:val="02010609060101010101"/>
    <w:charset w:val="00"/>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Wingdings">
    <w:panose1 w:val="05000000000000000000"/>
    <w:charset w:val="02"/>
    <w:family w:val="auto"/>
    <w:pitch w:val="default"/>
    <w:sig w:usb0="00000000" w:usb1="00000000" w:usb2="00000000" w:usb3="00000000" w:csb0="80000000" w:csb1="00000000"/>
  </w:font>
  <w:font w:name="仿宋_GB2312">
    <w:altName w:val="汉仪仿宋KW"/>
    <w:panose1 w:val="00000000000000000000"/>
    <w:charset w:val="86"/>
    <w:family w:val="modern"/>
    <w:pitch w:val="default"/>
    <w:sig w:usb0="00000000" w:usb1="00000000" w:usb2="00000000"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 w:name="微软雅黑">
    <w:altName w:val="汉仪旗黑KW 55S"/>
    <w:panose1 w:val="020B0503020204020204"/>
    <w:charset w:val="86"/>
    <w:family w:val="swiss"/>
    <w:pitch w:val="default"/>
    <w:sig w:usb0="00000000" w:usb1="00000000" w:usb2="00000016" w:usb3="00000000" w:csb0="0004001F" w:csb1="00000000"/>
  </w:font>
  <w:font w:name="黑体">
    <w:altName w:val="汉仪中黑KW"/>
    <w:panose1 w:val="02010609060101010101"/>
    <w:charset w:val="86"/>
    <w:family w:val="modern"/>
    <w:pitch w:val="default"/>
    <w:sig w:usb0="00000000" w:usb1="00000000" w:usb2="00000016" w:usb3="00000000" w:csb0="00040001" w:csb1="00000000"/>
  </w:font>
  <w:font w:name="Arial Narrow">
    <w:altName w:val="Arial"/>
    <w:panose1 w:val="020B0606020202030204"/>
    <w:charset w:val="00"/>
    <w:family w:val="swiss"/>
    <w:pitch w:val="default"/>
    <w:sig w:usb0="00000000" w:usb1="00000000" w:usb2="00000000" w:usb3="00000000" w:csb0="0000009F" w:csb1="00000000"/>
  </w:font>
  <w:font w:name="Calibri Light">
    <w:altName w:val="Century Gothic"/>
    <w:panose1 w:val="020F0302020204030204"/>
    <w:charset w:val="00"/>
    <w:family w:val="swiss"/>
    <w:pitch w:val="default"/>
    <w:sig w:usb0="00000000" w:usb1="00000000" w:usb2="00000009" w:usb3="00000000" w:csb0="000001FF" w:csb1="00000000"/>
  </w:font>
  <w:font w:name="汉仪仿宋KW">
    <w:panose1 w:val="00020600040101010101"/>
    <w:charset w:val="86"/>
    <w:family w:val="auto"/>
    <w:pitch w:val="default"/>
    <w:sig w:usb0="A00002BF" w:usb1="18EF7CFA" w:usb2="00000016" w:usb3="00000000" w:csb0="00040000" w:csb1="00000000"/>
  </w:font>
  <w:font w:name="汉仪旗黑KW 55S">
    <w:panose1 w:val="00020600040101010101"/>
    <w:charset w:val="86"/>
    <w:family w:val="auto"/>
    <w:pitch w:val="default"/>
    <w:sig w:usb0="A00002BF" w:usb1="3ACF7CFA" w:usb2="00000016" w:usb3="00000000" w:csb0="0004009F" w:csb1="DFD70000"/>
  </w:font>
  <w:font w:name="Century Gothic">
    <w:panose1 w:val="020B0502020202020204"/>
    <w:charset w:val="00"/>
    <w:family w:val="auto"/>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FFC132"/>
    <w:multiLevelType w:val="singleLevel"/>
    <w:tmpl w:val="85FFC132"/>
    <w:lvl w:ilvl="0" w:tentative="0">
      <w:start w:val="2"/>
      <w:numFmt w:val="chineseCounting"/>
      <w:suff w:val="nothing"/>
      <w:lvlText w:val="（%1）"/>
      <w:lvlJc w:val="left"/>
      <w:rPr>
        <w:rFonts w:hint="eastAsia"/>
      </w:rPr>
    </w:lvl>
  </w:abstractNum>
  <w:abstractNum w:abstractNumId="1">
    <w:nsid w:val="222E7DD8"/>
    <w:multiLevelType w:val="multilevel"/>
    <w:tmpl w:val="222E7DD8"/>
    <w:lvl w:ilvl="0" w:tentative="0">
      <w:start w:val="1"/>
      <w:numFmt w:val="decimal"/>
      <w:lvlText w:val="（%1)"/>
      <w:lvlJc w:val="left"/>
      <w:pPr>
        <w:ind w:left="920" w:hanging="360"/>
      </w:pPr>
      <w:rPr>
        <w:rFonts w:hint="eastAsia"/>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2">
    <w:nsid w:val="63FCB6FF"/>
    <w:multiLevelType w:val="singleLevel"/>
    <w:tmpl w:val="63FCB6FF"/>
    <w:lvl w:ilvl="0" w:tentative="0">
      <w:start w:val="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886207B"/>
    <w:rsid w:val="001460C6"/>
    <w:rsid w:val="00172536"/>
    <w:rsid w:val="0017418A"/>
    <w:rsid w:val="002171B9"/>
    <w:rsid w:val="0027457D"/>
    <w:rsid w:val="002963CC"/>
    <w:rsid w:val="00330BF0"/>
    <w:rsid w:val="003315AA"/>
    <w:rsid w:val="003B1E40"/>
    <w:rsid w:val="004C6FA8"/>
    <w:rsid w:val="00504FA9"/>
    <w:rsid w:val="006C717F"/>
    <w:rsid w:val="00742092"/>
    <w:rsid w:val="0084324B"/>
    <w:rsid w:val="00892103"/>
    <w:rsid w:val="008B0F92"/>
    <w:rsid w:val="008D3477"/>
    <w:rsid w:val="00B516CD"/>
    <w:rsid w:val="00C0370D"/>
    <w:rsid w:val="00C07BC5"/>
    <w:rsid w:val="00C65B8A"/>
    <w:rsid w:val="0886207B"/>
    <w:rsid w:val="0CBF7F26"/>
    <w:rsid w:val="5C2A1BE1"/>
    <w:rsid w:val="5FFF4A7B"/>
    <w:rsid w:val="673AC460"/>
    <w:rsid w:val="6AF8125A"/>
    <w:rsid w:val="B7AB43FE"/>
    <w:rsid w:val="FDE95E8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9"/>
    <w:pPr>
      <w:spacing w:line="460" w:lineRule="exact"/>
      <w:ind w:firstLine="560" w:firstLineChars="200"/>
      <w:outlineLvl w:val="1"/>
    </w:pPr>
    <w:rPr>
      <w:rFonts w:ascii="微软雅黑" w:hAnsi="微软雅黑" w:eastAsia="微软雅黑" w:cs="Arial"/>
      <w:b/>
      <w:szCs w:val="28"/>
    </w:rPr>
  </w:style>
  <w:style w:type="character" w:default="1" w:styleId="6">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14"/>
    <w:uiPriority w:val="0"/>
    <w:pPr>
      <w:tabs>
        <w:tab w:val="center" w:pos="4153"/>
        <w:tab w:val="right" w:pos="8306"/>
      </w:tabs>
      <w:snapToGrid w:val="0"/>
      <w:jc w:val="left"/>
    </w:pPr>
    <w:rPr>
      <w:sz w:val="18"/>
      <w:szCs w:val="18"/>
    </w:rPr>
  </w:style>
  <w:style w:type="paragraph" w:styleId="4">
    <w:name w:val="header"/>
    <w:basedOn w:val="1"/>
    <w:link w:val="13"/>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7">
    <w:name w:val="Hyperlink"/>
    <w:basedOn w:val="6"/>
    <w:uiPriority w:val="0"/>
    <w:rPr>
      <w:color w:val="0563C1" w:themeColor="hyperlink"/>
      <w:u w:val="single"/>
    </w:rPr>
  </w:style>
  <w:style w:type="table" w:styleId="9">
    <w:name w:val="Table Grid"/>
    <w:basedOn w:val="8"/>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0">
    <w:name w:val="TableGrid"/>
    <w:uiPriority w:val="0"/>
    <w:rPr>
      <w:rFonts w:asciiTheme="minorHAnsi" w:hAnsiTheme="minorHAnsi" w:eastAsiaTheme="minorEastAsia" w:cstheme="minorBidi"/>
      <w:kern w:val="2"/>
      <w:sz w:val="21"/>
      <w:szCs w:val="22"/>
    </w:rPr>
    <w:tblPr>
      <w:tblLayout w:type="fixed"/>
      <w:tblCellMar>
        <w:top w:w="0" w:type="dxa"/>
        <w:left w:w="0" w:type="dxa"/>
        <w:bottom w:w="0" w:type="dxa"/>
        <w:right w:w="0" w:type="dxa"/>
      </w:tblCellMar>
    </w:tblPr>
  </w:style>
  <w:style w:type="paragraph" w:customStyle="1" w:styleId="11">
    <w:name w:val="List Paragraph"/>
    <w:basedOn w:val="1"/>
    <w:qFormat/>
    <w:uiPriority w:val="34"/>
    <w:pPr>
      <w:ind w:left="720"/>
      <w:contextualSpacing/>
    </w:pPr>
  </w:style>
  <w:style w:type="paragraph" w:customStyle="1" w:styleId="12">
    <w:name w:val="列出段落1"/>
    <w:basedOn w:val="1"/>
    <w:qFormat/>
    <w:uiPriority w:val="0"/>
    <w:pPr>
      <w:ind w:firstLine="420" w:firstLineChars="200"/>
    </w:pPr>
    <w:rPr>
      <w:rFonts w:ascii="Calibri" w:hAnsi="Calibri" w:cs="黑体"/>
      <w:sz w:val="28"/>
      <w:szCs w:val="22"/>
    </w:rPr>
  </w:style>
  <w:style w:type="character" w:customStyle="1" w:styleId="13">
    <w:name w:val="页眉 Char"/>
    <w:basedOn w:val="6"/>
    <w:link w:val="4"/>
    <w:uiPriority w:val="0"/>
    <w:rPr>
      <w:kern w:val="2"/>
      <w:sz w:val="18"/>
      <w:szCs w:val="18"/>
    </w:rPr>
  </w:style>
  <w:style w:type="character" w:customStyle="1" w:styleId="14">
    <w:name w:val="页脚 Char"/>
    <w:basedOn w:val="6"/>
    <w:link w:val="3"/>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1793</Words>
  <Characters>10224</Characters>
  <Lines>85</Lines>
  <Paragraphs>23</Paragraphs>
  <ScaleCrop>false</ScaleCrop>
  <LinksUpToDate>false</LinksUpToDate>
  <CharactersWithSpaces>11994</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2019-08-13T05:01:00Z</dcterms:created>
  <dc:creator>天道酬勤</dc:creator>
  <cp:lastModifiedBy>Asus</cp:lastModifiedBy>
  <dcterms:modified xsi:type="dcterms:W3CDTF">2019-08-16T20:40:39Z</dcterms:modified>
  <dc:title>2019年海南省高职院校技能大赛</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