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40" w:lineRule="exact"/>
        <w:jc w:val="center"/>
        <w:rPr>
          <w:rFonts w:ascii="仿宋" w:hAnsi="仿宋" w:eastAsia="仿宋"/>
          <w:b/>
          <w:sz w:val="36"/>
          <w:szCs w:val="36"/>
        </w:rPr>
      </w:pPr>
      <w:r>
        <w:rPr>
          <w:rFonts w:hint="eastAsia" w:ascii="仿宋" w:hAnsi="仿宋" w:eastAsia="仿宋" w:cs="宋体"/>
          <w:b/>
          <w:sz w:val="36"/>
          <w:szCs w:val="36"/>
        </w:rPr>
        <w:t>201</w:t>
      </w:r>
      <w:r>
        <w:rPr>
          <w:rFonts w:hint="eastAsia" w:ascii="仿宋" w:hAnsi="仿宋" w:eastAsia="仿宋" w:cs="宋体"/>
          <w:b/>
          <w:sz w:val="36"/>
          <w:szCs w:val="36"/>
          <w:lang w:val="en-US" w:eastAsia="zh-CN"/>
        </w:rPr>
        <w:t>9</w:t>
      </w:r>
      <w:r>
        <w:rPr>
          <w:rFonts w:hint="eastAsia" w:ascii="仿宋" w:hAnsi="仿宋" w:eastAsia="仿宋" w:cs="宋体"/>
          <w:b/>
          <w:sz w:val="36"/>
          <w:szCs w:val="36"/>
        </w:rPr>
        <w:t>年海南省职业院校技能大赛高职组</w:t>
      </w:r>
    </w:p>
    <w:p>
      <w:pPr>
        <w:snapToGrid w:val="0"/>
        <w:spacing w:line="540" w:lineRule="exact"/>
        <w:jc w:val="center"/>
        <w:rPr>
          <w:rFonts w:ascii="仿宋" w:hAnsi="仿宋" w:eastAsia="仿宋" w:cs="宋体"/>
          <w:b/>
          <w:sz w:val="36"/>
          <w:szCs w:val="36"/>
        </w:rPr>
      </w:pPr>
      <w:r>
        <w:rPr>
          <w:rFonts w:hint="eastAsia" w:ascii="仿宋" w:hAnsi="仿宋" w:eastAsia="仿宋" w:cs="宋体"/>
          <w:b/>
          <w:sz w:val="36"/>
          <w:szCs w:val="36"/>
        </w:rPr>
        <w:t>“电子产品芯片级检测维修与数据恢复”赛项规程</w:t>
      </w:r>
    </w:p>
    <w:p>
      <w:pPr>
        <w:pStyle w:val="2"/>
        <w:keepNext w:val="0"/>
        <w:keepLines w:val="0"/>
        <w:adjustRightInd w:val="0"/>
        <w:snapToGrid w:val="0"/>
        <w:spacing w:before="0" w:after="0" w:line="560" w:lineRule="exact"/>
        <w:rPr>
          <w:rFonts w:ascii="仿宋" w:hAnsi="仿宋" w:eastAsia="仿宋" w:cs="宋体"/>
          <w:bCs w:val="0"/>
          <w:color w:val="000000"/>
          <w:kern w:val="0"/>
          <w:sz w:val="28"/>
          <w:szCs w:val="28"/>
        </w:rPr>
      </w:pP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一、赛项名称</w:t>
      </w:r>
    </w:p>
    <w:p>
      <w:pPr>
        <w:spacing w:line="560" w:lineRule="exact"/>
        <w:ind w:firstLine="570"/>
        <w:rPr>
          <w:rFonts w:ascii="仿宋" w:hAnsi="仿宋" w:eastAsia="仿宋" w:cs="仿宋_GB2312"/>
          <w:bCs/>
          <w:color w:val="000000"/>
          <w:kern w:val="0"/>
          <w:sz w:val="28"/>
          <w:szCs w:val="28"/>
        </w:rPr>
      </w:pPr>
      <w:r>
        <w:rPr>
          <w:rFonts w:hint="eastAsia" w:ascii="仿宋" w:hAnsi="仿宋" w:eastAsia="仿宋" w:cs="仿宋_GB2312"/>
          <w:bCs/>
          <w:color w:val="000000"/>
          <w:kern w:val="0"/>
          <w:sz w:val="28"/>
          <w:szCs w:val="28"/>
        </w:rPr>
        <w:t>赛项名称：电子产品芯片级检测维修与数据恢复</w:t>
      </w:r>
    </w:p>
    <w:p>
      <w:pPr>
        <w:spacing w:line="560" w:lineRule="exact"/>
        <w:ind w:firstLine="570"/>
        <w:rPr>
          <w:rFonts w:ascii="仿宋" w:hAnsi="仿宋" w:eastAsia="仿宋" w:cs="仿宋_GB2312"/>
          <w:bCs/>
          <w:color w:val="000000"/>
          <w:kern w:val="0"/>
          <w:sz w:val="28"/>
          <w:szCs w:val="28"/>
        </w:rPr>
      </w:pPr>
      <w:r>
        <w:rPr>
          <w:rFonts w:hint="eastAsia" w:ascii="仿宋" w:hAnsi="仿宋" w:eastAsia="仿宋" w:cs="仿宋_GB2312"/>
          <w:bCs/>
          <w:color w:val="000000"/>
          <w:kern w:val="0"/>
          <w:sz w:val="28"/>
          <w:szCs w:val="28"/>
        </w:rPr>
        <w:t>英语翻译：Electronic Products Chip-Level Diagnostics, Reparation, and Data Recovery</w:t>
      </w:r>
    </w:p>
    <w:p>
      <w:pPr>
        <w:spacing w:line="560" w:lineRule="exact"/>
        <w:ind w:firstLine="570"/>
        <w:rPr>
          <w:rFonts w:ascii="仿宋" w:hAnsi="仿宋" w:eastAsia="仿宋" w:cs="仿宋_GB2312"/>
          <w:bCs/>
          <w:color w:val="000000"/>
          <w:kern w:val="0"/>
          <w:sz w:val="28"/>
          <w:szCs w:val="28"/>
        </w:rPr>
      </w:pPr>
      <w:r>
        <w:rPr>
          <w:rFonts w:hint="eastAsia" w:ascii="仿宋" w:hAnsi="仿宋" w:eastAsia="仿宋" w:cs="仿宋_GB2312"/>
          <w:bCs/>
          <w:color w:val="000000"/>
          <w:kern w:val="0"/>
          <w:sz w:val="28"/>
          <w:szCs w:val="28"/>
        </w:rPr>
        <w:t>赛项组别：高职组</w:t>
      </w:r>
    </w:p>
    <w:p>
      <w:pPr>
        <w:spacing w:line="560" w:lineRule="exact"/>
        <w:ind w:firstLine="570"/>
        <w:rPr>
          <w:rFonts w:ascii="仿宋" w:hAnsi="仿宋" w:eastAsia="仿宋" w:cs="仿宋_GB2312"/>
          <w:bCs/>
          <w:color w:val="000000"/>
          <w:kern w:val="0"/>
          <w:sz w:val="28"/>
          <w:szCs w:val="28"/>
        </w:rPr>
      </w:pPr>
      <w:r>
        <w:rPr>
          <w:rFonts w:hint="eastAsia" w:ascii="仿宋" w:hAnsi="仿宋" w:eastAsia="仿宋" w:cs="仿宋_GB2312"/>
          <w:bCs/>
          <w:color w:val="000000"/>
          <w:kern w:val="0"/>
          <w:sz w:val="28"/>
          <w:szCs w:val="28"/>
        </w:rPr>
        <w:t>赛项归属产业：电子信息</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二、竞赛目的</w:t>
      </w:r>
    </w:p>
    <w:p>
      <w:pPr>
        <w:spacing w:line="560" w:lineRule="exact"/>
        <w:ind w:firstLine="570"/>
        <w:rPr>
          <w:rFonts w:ascii="仿宋" w:hAnsi="仿宋" w:eastAsia="仿宋" w:cs="仿宋_GB2312"/>
          <w:bCs/>
          <w:color w:val="000000"/>
          <w:kern w:val="0"/>
          <w:sz w:val="28"/>
          <w:szCs w:val="28"/>
        </w:rPr>
      </w:pPr>
      <w:r>
        <w:rPr>
          <w:rFonts w:hint="eastAsia" w:ascii="仿宋" w:hAnsi="仿宋" w:eastAsia="仿宋" w:cs="仿宋_GB2312"/>
          <w:bCs/>
          <w:color w:val="000000"/>
          <w:kern w:val="0"/>
          <w:sz w:val="28"/>
          <w:szCs w:val="28"/>
        </w:rPr>
        <w:t>本赛项以我国电子信息产业发展的人才需求为依托，以电子产品主板芯片级检测维修及硬盘数据恢复技术为载体，将这两方面的前沿技术及技能融入比赛内容，主要检验选手在真实的工作场景下对电子产品芯片级检测维修及数据恢复的技能运用及综合职业素养表现，全面展现职业教育改进与改革的最新成果及参赛选手良好的精神风貌，引导高职教育关注在“电子产品芯片级维修与数据恢复”教育方面的发展趋势，为行业、企业培养紧缺人才，提高电子信息类高素质、高技能应用型人才的培养质量。</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三、竞赛内容</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（一）竞赛时间</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竞赛时间为120分钟</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（二）竞赛任务</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1.电路板检测与维修（赛项比重30%）</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在规定的时间内，依据赛项执委会提供的技术文件（包括原理图及元器件资料等），完成指定电路板的故障检测及维修。</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2.存储介质维修及数据恢复（赛项比重50%）</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对赛项执委会现场提供的存储介质进行检测维修，将介质中存储的指定文件资料恢复出来。</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3.填写竞赛报告单（赛项比重15%）</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完成竞赛报告单的填写。</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4.职业素养（赛项比重5%）</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根据选手操作、规范、安全等方面综合评定。</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（三）相关技能</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1.电工与电子技术基础</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2.电子产品维修工艺与流程</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3.计算机应用技能</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4.电子产品的故障检测与维修</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color w:val="000000"/>
          <w:sz w:val="28"/>
          <w:szCs w:val="28"/>
        </w:rPr>
        <w:t>5.数据恢复技能</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四、竞赛方式</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1.竞赛以团队方式进行，不计选手个人成绩，统计参赛队的总成绩并进行排序。</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2.每支参赛队由2名参赛选手组成，2名选手须为同校在籍学生，其中队长1名，性别和年级不限。</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3.每支参赛队可配指导教师2名，指导教师须为本校专兼职教师。竞赛期间不允许指导教师进入赛场进行现场指导。</w:t>
      </w:r>
    </w:p>
    <w:p>
      <w:pPr>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color w:val="000000"/>
          <w:sz w:val="28"/>
          <w:szCs w:val="28"/>
        </w:rPr>
        <w:t>4.本赛项暂不邀请国际队参赛，欢迎国内外团队及选手到场观赛。</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五、竞赛流程</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（一）竞技过程</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1.竞赛开始60分钟前，参赛队选手到赛场指定地点抽取赛位号，接受检录，进入指定赛位，但不可进行任何操作。赛位号由加密裁判经两次加密处理后封存保管于指定场所。</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在裁判长发布“赛前30分钟准备”的指令后，选手方可拆封赛位上的赛题及物料箱，并依照竞赛物料清单核对竞赛板卡、硬盘及相应配件是否符合需求，同时检查仪器设备及工具的功能是否正常，并对出现的异常及时申请更换，完成后填写相关表格并签字确认。</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3.在裁判长发布“竞赛开始”的指令后，选手可自行决定工作程序，使用现场配套的设备及工具，开始竞赛操作，完成规定的工作任务。</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4.竞赛开始后，裁判长将随机生成数据恢复指定文件，并打印下发给参赛选手。</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5.在裁判长发布“竞赛结束”的指令后，选手必须停止一切竞赛操作。</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6.竞赛结束后，根据现场裁判的指示进行电路板卡维修结果上传及电子版竞赛报告单上传，完成竞赛结果提交及确认。</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7.竞赛结果提交完成后，按照现场裁判的安排有序离开比赛现场。 </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（二）日程安排</w:t>
      </w:r>
    </w:p>
    <w:tbl>
      <w:tblPr>
        <w:tblStyle w:val="10"/>
        <w:tblW w:w="7949" w:type="dxa"/>
        <w:jc w:val="center"/>
        <w:tblInd w:w="0" w:type="dxa"/>
        <w:tblLayout w:type="fixed"/>
        <w:tblCellMar>
          <w:top w:w="0" w:type="dxa"/>
          <w:left w:w="108" w:type="dxa"/>
          <w:bottom w:w="0" w:type="dxa"/>
          <w:right w:w="108" w:type="dxa"/>
        </w:tblCellMar>
      </w:tblPr>
      <w:tblGrid>
        <w:gridCol w:w="1277"/>
        <w:gridCol w:w="4916"/>
        <w:gridCol w:w="1756"/>
      </w:tblGrid>
      <w:tr>
        <w:tblPrEx>
          <w:tblLayout w:type="fixed"/>
          <w:tblCellMar>
            <w:top w:w="0" w:type="dxa"/>
            <w:left w:w="108" w:type="dxa"/>
            <w:bottom w:w="0" w:type="dxa"/>
            <w:right w:w="108" w:type="dxa"/>
          </w:tblCellMar>
        </w:tblPrEx>
        <w:trPr>
          <w:trHeight w:val="20" w:hRule="atLeast"/>
          <w:jc w:val="center"/>
        </w:trPr>
        <w:tc>
          <w:tcPr>
            <w:tcW w:w="127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b/>
                <w:bCs/>
                <w:color w:val="000000"/>
                <w:sz w:val="24"/>
              </w:rPr>
            </w:pPr>
            <w:r>
              <w:rPr>
                <w:rFonts w:hint="eastAsia" w:ascii="仿宋" w:hAnsi="仿宋" w:eastAsia="仿宋" w:cs="仿宋"/>
                <w:b/>
                <w:bCs/>
                <w:color w:val="000000"/>
                <w:sz w:val="24"/>
              </w:rPr>
              <w:t>日期</w:t>
            </w:r>
          </w:p>
        </w:tc>
        <w:tc>
          <w:tcPr>
            <w:tcW w:w="4916" w:type="dxa"/>
            <w:tcBorders>
              <w:top w:val="single" w:color="auto" w:sz="4" w:space="0"/>
              <w:left w:val="nil"/>
              <w:bottom w:val="single" w:color="auto" w:sz="4" w:space="0"/>
              <w:right w:val="single" w:color="auto" w:sz="4" w:space="0"/>
            </w:tcBorders>
            <w:vAlign w:val="center"/>
          </w:tcPr>
          <w:p>
            <w:pPr>
              <w:jc w:val="center"/>
              <w:rPr>
                <w:rFonts w:ascii="仿宋" w:hAnsi="仿宋" w:eastAsia="仿宋" w:cs="仿宋"/>
                <w:b/>
                <w:bCs/>
                <w:color w:val="000000"/>
                <w:sz w:val="24"/>
              </w:rPr>
            </w:pPr>
            <w:r>
              <w:rPr>
                <w:rFonts w:hint="eastAsia" w:ascii="仿宋" w:hAnsi="仿宋" w:eastAsia="仿宋" w:cs="仿宋"/>
                <w:b/>
                <w:bCs/>
                <w:color w:val="000000"/>
                <w:sz w:val="24"/>
              </w:rPr>
              <w:t>事项安排</w:t>
            </w:r>
          </w:p>
        </w:tc>
        <w:tc>
          <w:tcPr>
            <w:tcW w:w="1756" w:type="dxa"/>
            <w:tcBorders>
              <w:top w:val="single" w:color="auto" w:sz="4" w:space="0"/>
              <w:left w:val="nil"/>
              <w:bottom w:val="single" w:color="auto" w:sz="4" w:space="0"/>
              <w:right w:val="single" w:color="auto" w:sz="4" w:space="0"/>
            </w:tcBorders>
          </w:tcPr>
          <w:p>
            <w:pPr>
              <w:jc w:val="center"/>
              <w:rPr>
                <w:rFonts w:ascii="仿宋" w:hAnsi="仿宋" w:eastAsia="仿宋" w:cs="仿宋"/>
                <w:b/>
                <w:bCs/>
                <w:color w:val="000000"/>
                <w:sz w:val="24"/>
              </w:rPr>
            </w:pPr>
            <w:r>
              <w:rPr>
                <w:rFonts w:hint="eastAsia" w:ascii="仿宋" w:hAnsi="仿宋" w:eastAsia="仿宋" w:cs="仿宋"/>
                <w:b/>
                <w:bCs/>
                <w:color w:val="000000"/>
                <w:sz w:val="24"/>
              </w:rPr>
              <w:t>时间</w:t>
            </w:r>
          </w:p>
        </w:tc>
      </w:tr>
      <w:tr>
        <w:tblPrEx>
          <w:tblLayout w:type="fixed"/>
          <w:tblCellMar>
            <w:top w:w="0" w:type="dxa"/>
            <w:left w:w="108" w:type="dxa"/>
            <w:bottom w:w="0" w:type="dxa"/>
            <w:right w:w="108" w:type="dxa"/>
          </w:tblCellMar>
        </w:tblPrEx>
        <w:trPr>
          <w:trHeight w:val="20" w:hRule="atLeast"/>
          <w:jc w:val="center"/>
        </w:trPr>
        <w:tc>
          <w:tcPr>
            <w:tcW w:w="1277" w:type="dxa"/>
            <w:vMerge w:val="restart"/>
            <w:tcBorders>
              <w:top w:val="single" w:color="auto" w:sz="4" w:space="0"/>
              <w:left w:val="single" w:color="auto" w:sz="4" w:space="0"/>
              <w:right w:val="single" w:color="auto" w:sz="4" w:space="0"/>
            </w:tcBorders>
            <w:vAlign w:val="center"/>
          </w:tcPr>
          <w:p>
            <w:pPr>
              <w:jc w:val="center"/>
              <w:rPr>
                <w:rFonts w:ascii="仿宋" w:hAnsi="仿宋" w:eastAsia="仿宋" w:cs="仿宋"/>
                <w:bCs/>
                <w:color w:val="000000"/>
                <w:sz w:val="24"/>
              </w:rPr>
            </w:pPr>
            <w:r>
              <w:rPr>
                <w:rFonts w:hint="eastAsia" w:ascii="仿宋" w:hAnsi="仿宋" w:eastAsia="仿宋" w:cs="仿宋"/>
                <w:bCs/>
                <w:color w:val="000000"/>
                <w:sz w:val="24"/>
              </w:rPr>
              <w:t>第一天</w:t>
            </w:r>
          </w:p>
        </w:tc>
        <w:tc>
          <w:tcPr>
            <w:tcW w:w="4916" w:type="dxa"/>
            <w:tcBorders>
              <w:top w:val="single" w:color="auto" w:sz="4" w:space="0"/>
              <w:left w:val="nil"/>
              <w:bottom w:val="single" w:color="auto" w:sz="4" w:space="0"/>
              <w:right w:val="single" w:color="auto" w:sz="4" w:space="0"/>
            </w:tcBorders>
            <w:vAlign w:val="center"/>
          </w:tcPr>
          <w:p>
            <w:pPr>
              <w:rPr>
                <w:rFonts w:ascii="仿宋" w:hAnsi="仿宋" w:eastAsia="仿宋" w:cs="仿宋"/>
                <w:bCs/>
                <w:color w:val="000000"/>
                <w:sz w:val="24"/>
              </w:rPr>
            </w:pPr>
            <w:r>
              <w:rPr>
                <w:rFonts w:hint="eastAsia" w:ascii="仿宋" w:hAnsi="仿宋" w:eastAsia="仿宋" w:cs="仿宋"/>
                <w:bCs/>
                <w:color w:val="000000"/>
                <w:sz w:val="24"/>
              </w:rPr>
              <w:t>参赛队报到注册</w:t>
            </w:r>
          </w:p>
        </w:tc>
        <w:tc>
          <w:tcPr>
            <w:tcW w:w="1756" w:type="dxa"/>
            <w:tcBorders>
              <w:top w:val="single" w:color="auto" w:sz="4" w:space="0"/>
              <w:left w:val="nil"/>
              <w:bottom w:val="single" w:color="auto" w:sz="4" w:space="0"/>
              <w:right w:val="single" w:color="auto" w:sz="4" w:space="0"/>
            </w:tcBorders>
          </w:tcPr>
          <w:p>
            <w:pPr>
              <w:rPr>
                <w:rFonts w:ascii="仿宋" w:hAnsi="仿宋" w:eastAsia="仿宋" w:cs="仿宋"/>
                <w:bCs/>
                <w:color w:val="000000"/>
                <w:sz w:val="24"/>
              </w:rPr>
            </w:pPr>
            <w:r>
              <w:rPr>
                <w:rFonts w:ascii="仿宋" w:hAnsi="仿宋" w:eastAsia="仿宋" w:cs="仿宋"/>
                <w:bCs/>
                <w:color w:val="000000"/>
                <w:sz w:val="24"/>
              </w:rPr>
              <w:t>15:00-16:00</w:t>
            </w:r>
          </w:p>
        </w:tc>
      </w:tr>
      <w:tr>
        <w:tblPrEx>
          <w:tblLayout w:type="fixed"/>
          <w:tblCellMar>
            <w:top w:w="0" w:type="dxa"/>
            <w:left w:w="108" w:type="dxa"/>
            <w:bottom w:w="0" w:type="dxa"/>
            <w:right w:w="108" w:type="dxa"/>
          </w:tblCellMar>
        </w:tblPrEx>
        <w:trPr>
          <w:trHeight w:val="20" w:hRule="atLeast"/>
          <w:jc w:val="center"/>
        </w:trPr>
        <w:tc>
          <w:tcPr>
            <w:tcW w:w="1277" w:type="dxa"/>
            <w:vMerge w:val="continue"/>
            <w:tcBorders>
              <w:left w:val="single" w:color="auto" w:sz="4" w:space="0"/>
              <w:bottom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熟悉赛场</w:t>
            </w:r>
          </w:p>
        </w:tc>
        <w:tc>
          <w:tcPr>
            <w:tcW w:w="1756" w:type="dxa"/>
            <w:tcBorders>
              <w:top w:val="nil"/>
              <w:left w:val="nil"/>
              <w:bottom w:val="single" w:color="auto" w:sz="4" w:space="0"/>
              <w:right w:val="single" w:color="auto" w:sz="4" w:space="0"/>
            </w:tcBorders>
          </w:tcPr>
          <w:p>
            <w:pPr>
              <w:rPr>
                <w:rFonts w:ascii="仿宋" w:hAnsi="仿宋" w:eastAsia="仿宋" w:cs="仿宋"/>
                <w:color w:val="000000"/>
                <w:sz w:val="24"/>
              </w:rPr>
            </w:pPr>
            <w:r>
              <w:rPr>
                <w:rFonts w:ascii="仿宋" w:hAnsi="仿宋" w:eastAsia="仿宋" w:cs="仿宋"/>
                <w:color w:val="000000"/>
                <w:sz w:val="24"/>
              </w:rPr>
              <w:t>16:00-16:30</w:t>
            </w:r>
          </w:p>
        </w:tc>
      </w:tr>
      <w:tr>
        <w:tblPrEx>
          <w:tblLayout w:type="fixed"/>
          <w:tblCellMar>
            <w:top w:w="0" w:type="dxa"/>
            <w:left w:w="108" w:type="dxa"/>
            <w:bottom w:w="0" w:type="dxa"/>
            <w:right w:w="108" w:type="dxa"/>
          </w:tblCellMar>
        </w:tblPrEx>
        <w:trPr>
          <w:trHeight w:val="20" w:hRule="atLeast"/>
          <w:jc w:val="center"/>
        </w:trPr>
        <w:tc>
          <w:tcPr>
            <w:tcW w:w="1277" w:type="dxa"/>
            <w:vMerge w:val="restart"/>
            <w:tcBorders>
              <w:top w:val="nil"/>
              <w:left w:val="single" w:color="auto" w:sz="4" w:space="0"/>
              <w:right w:val="single" w:color="auto" w:sz="4" w:space="0"/>
            </w:tcBorders>
            <w:vAlign w:val="center"/>
          </w:tcPr>
          <w:p>
            <w:pPr>
              <w:jc w:val="center"/>
              <w:rPr>
                <w:rFonts w:ascii="仿宋" w:hAnsi="仿宋" w:eastAsia="仿宋" w:cs="仿宋"/>
                <w:color w:val="000000"/>
                <w:sz w:val="24"/>
              </w:rPr>
            </w:pPr>
            <w:r>
              <w:rPr>
                <w:rFonts w:hint="eastAsia" w:ascii="仿宋" w:hAnsi="仿宋" w:eastAsia="仿宋" w:cs="仿宋"/>
                <w:color w:val="000000"/>
                <w:sz w:val="24"/>
              </w:rPr>
              <w:t>第二天</w:t>
            </w: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选手到场</w:t>
            </w:r>
          </w:p>
        </w:tc>
        <w:tc>
          <w:tcPr>
            <w:tcW w:w="1756" w:type="dxa"/>
            <w:tcBorders>
              <w:top w:val="nil"/>
              <w:left w:val="nil"/>
              <w:bottom w:val="single" w:color="auto" w:sz="4" w:space="0"/>
              <w:right w:val="single" w:color="auto" w:sz="4" w:space="0"/>
            </w:tcBorders>
          </w:tcPr>
          <w:p>
            <w:pPr>
              <w:rPr>
                <w:rFonts w:ascii="仿宋" w:hAnsi="仿宋" w:eastAsia="仿宋" w:cs="仿宋"/>
                <w:color w:val="000000"/>
                <w:sz w:val="24"/>
              </w:rPr>
            </w:pPr>
            <w:r>
              <w:rPr>
                <w:rFonts w:ascii="仿宋" w:hAnsi="仿宋" w:eastAsia="仿宋" w:cs="仿宋"/>
                <w:color w:val="000000"/>
                <w:sz w:val="24"/>
              </w:rPr>
              <w:t>7:30</w:t>
            </w:r>
          </w:p>
        </w:tc>
      </w:tr>
      <w:tr>
        <w:tblPrEx>
          <w:tblLayout w:type="fixed"/>
          <w:tblCellMar>
            <w:top w:w="0" w:type="dxa"/>
            <w:left w:w="108" w:type="dxa"/>
            <w:bottom w:w="0" w:type="dxa"/>
            <w:right w:w="108" w:type="dxa"/>
          </w:tblCellMar>
        </w:tblPrEx>
        <w:trPr>
          <w:trHeight w:val="20" w:hRule="atLeast"/>
          <w:jc w:val="center"/>
        </w:trPr>
        <w:tc>
          <w:tcPr>
            <w:tcW w:w="1277" w:type="dxa"/>
            <w:vMerge w:val="continue"/>
            <w:tcBorders>
              <w:left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检录、两次加密及入场</w:t>
            </w:r>
          </w:p>
        </w:tc>
        <w:tc>
          <w:tcPr>
            <w:tcW w:w="1756" w:type="dxa"/>
            <w:tcBorders>
              <w:top w:val="nil"/>
              <w:left w:val="nil"/>
              <w:bottom w:val="single" w:color="auto" w:sz="4" w:space="0"/>
              <w:right w:val="single" w:color="auto" w:sz="4" w:space="0"/>
            </w:tcBorders>
          </w:tcPr>
          <w:p>
            <w:pPr>
              <w:rPr>
                <w:rFonts w:hint="default" w:ascii="仿宋" w:hAnsi="仿宋" w:eastAsia="仿宋" w:cs="仿宋"/>
                <w:color w:val="000000"/>
                <w:sz w:val="24"/>
                <w:lang w:val="en-US" w:eastAsia="zh-CN"/>
              </w:rPr>
            </w:pPr>
            <w:r>
              <w:rPr>
                <w:rFonts w:ascii="仿宋" w:hAnsi="仿宋" w:eastAsia="仿宋" w:cs="仿宋"/>
                <w:color w:val="000000"/>
                <w:sz w:val="24"/>
              </w:rPr>
              <w:t>7:30-8:</w:t>
            </w:r>
            <w:r>
              <w:rPr>
                <w:rFonts w:hint="eastAsia" w:ascii="仿宋" w:hAnsi="仿宋" w:eastAsia="仿宋" w:cs="仿宋"/>
                <w:color w:val="000000"/>
                <w:sz w:val="24"/>
                <w:lang w:val="en-US" w:eastAsia="zh-CN"/>
              </w:rPr>
              <w:t>00</w:t>
            </w:r>
          </w:p>
        </w:tc>
      </w:tr>
      <w:tr>
        <w:tblPrEx>
          <w:tblLayout w:type="fixed"/>
          <w:tblCellMar>
            <w:top w:w="0" w:type="dxa"/>
            <w:left w:w="108" w:type="dxa"/>
            <w:bottom w:w="0" w:type="dxa"/>
            <w:right w:w="108" w:type="dxa"/>
          </w:tblCellMar>
        </w:tblPrEx>
        <w:trPr>
          <w:trHeight w:val="20" w:hRule="atLeast"/>
          <w:jc w:val="center"/>
        </w:trPr>
        <w:tc>
          <w:tcPr>
            <w:tcW w:w="1277" w:type="dxa"/>
            <w:vMerge w:val="continue"/>
            <w:tcBorders>
              <w:left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赛前</w:t>
            </w:r>
            <w:r>
              <w:rPr>
                <w:rFonts w:ascii="仿宋" w:hAnsi="仿宋" w:eastAsia="仿宋" w:cs="仿宋"/>
                <w:color w:val="000000"/>
                <w:sz w:val="24"/>
              </w:rPr>
              <w:t>30</w:t>
            </w:r>
            <w:r>
              <w:rPr>
                <w:rFonts w:hint="eastAsia" w:ascii="仿宋" w:hAnsi="仿宋" w:eastAsia="仿宋" w:cs="仿宋"/>
                <w:color w:val="000000"/>
                <w:sz w:val="24"/>
              </w:rPr>
              <w:t>分钟准备</w:t>
            </w:r>
          </w:p>
        </w:tc>
        <w:tc>
          <w:tcPr>
            <w:tcW w:w="1756" w:type="dxa"/>
            <w:tcBorders>
              <w:top w:val="nil"/>
              <w:left w:val="nil"/>
              <w:bottom w:val="single" w:color="auto" w:sz="4" w:space="0"/>
              <w:right w:val="single" w:color="auto" w:sz="4" w:space="0"/>
            </w:tcBorders>
          </w:tcPr>
          <w:p>
            <w:pPr>
              <w:rPr>
                <w:rFonts w:ascii="仿宋" w:hAnsi="仿宋" w:eastAsia="仿宋" w:cs="仿宋"/>
                <w:color w:val="000000"/>
                <w:sz w:val="24"/>
              </w:rPr>
            </w:pPr>
            <w:r>
              <w:rPr>
                <w:rFonts w:ascii="仿宋" w:hAnsi="仿宋" w:eastAsia="仿宋" w:cs="仿宋"/>
                <w:color w:val="000000"/>
                <w:sz w:val="24"/>
              </w:rPr>
              <w:t>8:</w:t>
            </w:r>
            <w:r>
              <w:rPr>
                <w:rFonts w:hint="eastAsia" w:ascii="仿宋" w:hAnsi="仿宋" w:eastAsia="仿宋" w:cs="仿宋"/>
                <w:color w:val="000000"/>
                <w:sz w:val="24"/>
                <w:lang w:val="en-US" w:eastAsia="zh-CN"/>
              </w:rPr>
              <w:t>0</w:t>
            </w:r>
            <w:r>
              <w:rPr>
                <w:rFonts w:ascii="仿宋" w:hAnsi="仿宋" w:eastAsia="仿宋" w:cs="仿宋"/>
                <w:color w:val="000000"/>
                <w:sz w:val="24"/>
              </w:rPr>
              <w:t>0-</w:t>
            </w:r>
            <w:r>
              <w:rPr>
                <w:rFonts w:hint="eastAsia" w:ascii="仿宋" w:hAnsi="仿宋" w:eastAsia="仿宋" w:cs="仿宋"/>
                <w:color w:val="000000"/>
                <w:sz w:val="24"/>
                <w:lang w:val="en-US" w:eastAsia="zh-CN"/>
              </w:rPr>
              <w:t>8</w:t>
            </w:r>
            <w:r>
              <w:rPr>
                <w:rFonts w:ascii="仿宋" w:hAnsi="仿宋" w:eastAsia="仿宋" w:cs="仿宋"/>
                <w:color w:val="000000"/>
                <w:sz w:val="24"/>
              </w:rPr>
              <w:t>:</w:t>
            </w:r>
            <w:r>
              <w:rPr>
                <w:rFonts w:hint="eastAsia" w:ascii="仿宋" w:hAnsi="仿宋" w:eastAsia="仿宋" w:cs="仿宋"/>
                <w:color w:val="000000"/>
                <w:sz w:val="24"/>
                <w:lang w:val="en-US" w:eastAsia="zh-CN"/>
              </w:rPr>
              <w:t>3</w:t>
            </w:r>
            <w:r>
              <w:rPr>
                <w:rFonts w:ascii="仿宋" w:hAnsi="仿宋" w:eastAsia="仿宋" w:cs="仿宋"/>
                <w:color w:val="000000"/>
                <w:sz w:val="24"/>
              </w:rPr>
              <w:t>0</w:t>
            </w:r>
          </w:p>
        </w:tc>
      </w:tr>
      <w:tr>
        <w:tblPrEx>
          <w:tblLayout w:type="fixed"/>
          <w:tblCellMar>
            <w:top w:w="0" w:type="dxa"/>
            <w:left w:w="108" w:type="dxa"/>
            <w:bottom w:w="0" w:type="dxa"/>
            <w:right w:w="108" w:type="dxa"/>
          </w:tblCellMar>
        </w:tblPrEx>
        <w:trPr>
          <w:trHeight w:val="20" w:hRule="atLeast"/>
          <w:jc w:val="center"/>
        </w:trPr>
        <w:tc>
          <w:tcPr>
            <w:tcW w:w="1277" w:type="dxa"/>
            <w:vMerge w:val="continue"/>
            <w:tcBorders>
              <w:left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比赛时间</w:t>
            </w:r>
          </w:p>
        </w:tc>
        <w:tc>
          <w:tcPr>
            <w:tcW w:w="1756" w:type="dxa"/>
            <w:tcBorders>
              <w:top w:val="nil"/>
              <w:left w:val="nil"/>
              <w:bottom w:val="single" w:color="auto" w:sz="4" w:space="0"/>
              <w:right w:val="single" w:color="auto" w:sz="4" w:space="0"/>
            </w:tcBorders>
          </w:tcPr>
          <w:p>
            <w:pPr>
              <w:rPr>
                <w:rFonts w:ascii="仿宋" w:hAnsi="仿宋" w:eastAsia="仿宋" w:cs="仿宋"/>
                <w:color w:val="000000"/>
                <w:sz w:val="24"/>
              </w:rPr>
            </w:pPr>
            <w:r>
              <w:rPr>
                <w:rFonts w:hint="eastAsia" w:ascii="仿宋" w:hAnsi="仿宋" w:eastAsia="仿宋" w:cs="仿宋"/>
                <w:color w:val="000000"/>
                <w:sz w:val="24"/>
                <w:lang w:val="en-US" w:eastAsia="zh-CN"/>
              </w:rPr>
              <w:t>8</w:t>
            </w:r>
            <w:r>
              <w:rPr>
                <w:rFonts w:ascii="仿宋" w:hAnsi="仿宋" w:eastAsia="仿宋" w:cs="仿宋"/>
                <w:color w:val="000000"/>
                <w:sz w:val="24"/>
              </w:rPr>
              <w:t>:</w:t>
            </w:r>
            <w:r>
              <w:rPr>
                <w:rFonts w:hint="eastAsia" w:ascii="仿宋" w:hAnsi="仿宋" w:eastAsia="仿宋" w:cs="仿宋"/>
                <w:color w:val="000000"/>
                <w:sz w:val="24"/>
                <w:lang w:val="en-US" w:eastAsia="zh-CN"/>
              </w:rPr>
              <w:t>3</w:t>
            </w:r>
            <w:r>
              <w:rPr>
                <w:rFonts w:ascii="仿宋" w:hAnsi="仿宋" w:eastAsia="仿宋" w:cs="仿宋"/>
                <w:color w:val="000000"/>
                <w:sz w:val="24"/>
              </w:rPr>
              <w:t>0-1</w:t>
            </w:r>
            <w:r>
              <w:rPr>
                <w:rFonts w:hint="eastAsia" w:ascii="仿宋" w:hAnsi="仿宋" w:eastAsia="仿宋" w:cs="仿宋"/>
                <w:color w:val="000000"/>
                <w:sz w:val="24"/>
                <w:lang w:val="en-US" w:eastAsia="zh-CN"/>
              </w:rPr>
              <w:t>0</w:t>
            </w:r>
            <w:r>
              <w:rPr>
                <w:rFonts w:ascii="仿宋" w:hAnsi="仿宋" w:eastAsia="仿宋" w:cs="仿宋"/>
                <w:color w:val="000000"/>
                <w:sz w:val="24"/>
              </w:rPr>
              <w:t>:</w:t>
            </w:r>
            <w:r>
              <w:rPr>
                <w:rFonts w:hint="eastAsia" w:ascii="仿宋" w:hAnsi="仿宋" w:eastAsia="仿宋" w:cs="仿宋"/>
                <w:color w:val="000000"/>
                <w:sz w:val="24"/>
                <w:lang w:val="en-US" w:eastAsia="zh-CN"/>
              </w:rPr>
              <w:t>3</w:t>
            </w:r>
            <w:r>
              <w:rPr>
                <w:rFonts w:ascii="仿宋" w:hAnsi="仿宋" w:eastAsia="仿宋" w:cs="仿宋"/>
                <w:color w:val="000000"/>
                <w:sz w:val="24"/>
              </w:rPr>
              <w:t>0</w:t>
            </w:r>
          </w:p>
        </w:tc>
      </w:tr>
      <w:tr>
        <w:tblPrEx>
          <w:tblLayout w:type="fixed"/>
          <w:tblCellMar>
            <w:top w:w="0" w:type="dxa"/>
            <w:left w:w="108" w:type="dxa"/>
            <w:bottom w:w="0" w:type="dxa"/>
            <w:right w:w="108" w:type="dxa"/>
          </w:tblCellMar>
        </w:tblPrEx>
        <w:trPr>
          <w:trHeight w:val="20" w:hRule="atLeast"/>
          <w:jc w:val="center"/>
        </w:trPr>
        <w:tc>
          <w:tcPr>
            <w:tcW w:w="1277" w:type="dxa"/>
            <w:vMerge w:val="continue"/>
            <w:tcBorders>
              <w:left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提交竞赛结果并离场</w:t>
            </w:r>
          </w:p>
        </w:tc>
        <w:tc>
          <w:tcPr>
            <w:tcW w:w="1756" w:type="dxa"/>
            <w:tcBorders>
              <w:top w:val="nil"/>
              <w:left w:val="nil"/>
              <w:bottom w:val="single" w:color="auto" w:sz="4" w:space="0"/>
              <w:right w:val="single" w:color="auto" w:sz="4" w:space="0"/>
            </w:tcBorders>
          </w:tcPr>
          <w:p>
            <w:pPr>
              <w:rPr>
                <w:rFonts w:hint="default" w:ascii="仿宋" w:hAnsi="仿宋" w:eastAsia="仿宋" w:cs="仿宋"/>
                <w:color w:val="000000"/>
                <w:sz w:val="24"/>
                <w:lang w:val="en-US" w:eastAsia="zh-CN"/>
              </w:rPr>
            </w:pPr>
            <w:r>
              <w:rPr>
                <w:rFonts w:ascii="仿宋" w:hAnsi="仿宋" w:eastAsia="仿宋" w:cs="仿宋"/>
                <w:color w:val="000000"/>
                <w:sz w:val="24"/>
              </w:rPr>
              <w:t>1</w:t>
            </w:r>
            <w:r>
              <w:rPr>
                <w:rFonts w:hint="eastAsia" w:ascii="仿宋" w:hAnsi="仿宋" w:eastAsia="仿宋" w:cs="仿宋"/>
                <w:color w:val="000000"/>
                <w:sz w:val="24"/>
                <w:lang w:val="en-US" w:eastAsia="zh-CN"/>
              </w:rPr>
              <w:t>0</w:t>
            </w:r>
            <w:r>
              <w:rPr>
                <w:rFonts w:ascii="仿宋" w:hAnsi="仿宋" w:eastAsia="仿宋" w:cs="仿宋"/>
                <w:color w:val="000000"/>
                <w:sz w:val="24"/>
              </w:rPr>
              <w:t>:</w:t>
            </w:r>
            <w:r>
              <w:rPr>
                <w:rFonts w:hint="eastAsia" w:ascii="仿宋" w:hAnsi="仿宋" w:eastAsia="仿宋" w:cs="仿宋"/>
                <w:color w:val="000000"/>
                <w:sz w:val="24"/>
                <w:lang w:val="en-US" w:eastAsia="zh-CN"/>
              </w:rPr>
              <w:t>3</w:t>
            </w:r>
            <w:r>
              <w:rPr>
                <w:rFonts w:hint="eastAsia" w:ascii="仿宋" w:hAnsi="仿宋" w:eastAsia="仿宋" w:cs="仿宋"/>
                <w:color w:val="000000"/>
                <w:sz w:val="24"/>
              </w:rPr>
              <w:t>0-</w:t>
            </w:r>
            <w:r>
              <w:rPr>
                <w:rFonts w:ascii="仿宋" w:hAnsi="仿宋" w:eastAsia="仿宋" w:cs="仿宋"/>
                <w:color w:val="000000"/>
                <w:sz w:val="24"/>
              </w:rPr>
              <w:t xml:space="preserve"> </w:t>
            </w:r>
            <w:r>
              <w:rPr>
                <w:rFonts w:hint="eastAsia" w:ascii="仿宋" w:hAnsi="仿宋" w:eastAsia="仿宋" w:cs="仿宋"/>
                <w:color w:val="000000"/>
                <w:sz w:val="24"/>
                <w:lang w:val="en-US" w:eastAsia="zh-CN"/>
              </w:rPr>
              <w:t>11:00</w:t>
            </w:r>
          </w:p>
        </w:tc>
      </w:tr>
      <w:tr>
        <w:tblPrEx>
          <w:tblLayout w:type="fixed"/>
          <w:tblCellMar>
            <w:top w:w="0" w:type="dxa"/>
            <w:left w:w="108" w:type="dxa"/>
            <w:bottom w:w="0" w:type="dxa"/>
            <w:right w:w="108" w:type="dxa"/>
          </w:tblCellMar>
        </w:tblPrEx>
        <w:trPr>
          <w:trHeight w:val="20" w:hRule="atLeast"/>
          <w:jc w:val="center"/>
        </w:trPr>
        <w:tc>
          <w:tcPr>
            <w:tcW w:w="1277" w:type="dxa"/>
            <w:vMerge w:val="continue"/>
            <w:tcBorders>
              <w:left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nil"/>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赛项申诉与仲裁</w:t>
            </w:r>
          </w:p>
        </w:tc>
        <w:tc>
          <w:tcPr>
            <w:tcW w:w="1756" w:type="dxa"/>
            <w:tcBorders>
              <w:top w:val="nil"/>
              <w:left w:val="nil"/>
              <w:bottom w:val="single" w:color="auto" w:sz="4" w:space="0"/>
              <w:right w:val="single" w:color="auto" w:sz="4" w:space="0"/>
            </w:tcBorders>
          </w:tcPr>
          <w:p>
            <w:pPr>
              <w:rPr>
                <w:rFonts w:ascii="仿宋" w:hAnsi="仿宋" w:eastAsia="仿宋" w:cs="仿宋"/>
                <w:color w:val="000000"/>
                <w:sz w:val="24"/>
              </w:rPr>
            </w:pPr>
            <w:r>
              <w:rPr>
                <w:rFonts w:ascii="仿宋" w:hAnsi="仿宋" w:eastAsia="仿宋" w:cs="仿宋"/>
                <w:color w:val="000000"/>
                <w:sz w:val="24"/>
              </w:rPr>
              <w:t>1</w:t>
            </w:r>
            <w:r>
              <w:rPr>
                <w:rFonts w:hint="eastAsia" w:ascii="仿宋" w:hAnsi="仿宋" w:eastAsia="仿宋" w:cs="仿宋"/>
                <w:color w:val="000000"/>
                <w:sz w:val="24"/>
                <w:lang w:val="en-US" w:eastAsia="zh-CN"/>
              </w:rPr>
              <w:t>1</w:t>
            </w:r>
            <w:r>
              <w:rPr>
                <w:rFonts w:ascii="仿宋" w:hAnsi="仿宋" w:eastAsia="仿宋" w:cs="仿宋"/>
                <w:color w:val="000000"/>
                <w:sz w:val="24"/>
              </w:rPr>
              <w:t>:</w:t>
            </w:r>
            <w:r>
              <w:rPr>
                <w:rFonts w:hint="eastAsia" w:ascii="仿宋" w:hAnsi="仿宋" w:eastAsia="仿宋" w:cs="仿宋"/>
                <w:color w:val="000000"/>
                <w:sz w:val="24"/>
                <w:lang w:val="en-US" w:eastAsia="zh-CN"/>
              </w:rPr>
              <w:t>0</w:t>
            </w:r>
            <w:r>
              <w:rPr>
                <w:rFonts w:ascii="仿宋" w:hAnsi="仿宋" w:eastAsia="仿宋" w:cs="仿宋"/>
                <w:color w:val="000000"/>
                <w:sz w:val="24"/>
              </w:rPr>
              <w:t>0-1</w:t>
            </w:r>
            <w:r>
              <w:rPr>
                <w:rFonts w:hint="eastAsia" w:ascii="仿宋" w:hAnsi="仿宋" w:eastAsia="仿宋" w:cs="仿宋"/>
                <w:color w:val="000000"/>
                <w:sz w:val="24"/>
              </w:rPr>
              <w:t>3</w:t>
            </w:r>
            <w:r>
              <w:rPr>
                <w:rFonts w:ascii="仿宋" w:hAnsi="仿宋" w:eastAsia="仿宋" w:cs="仿宋"/>
                <w:color w:val="000000"/>
                <w:sz w:val="24"/>
              </w:rPr>
              <w:t>:</w:t>
            </w:r>
            <w:r>
              <w:rPr>
                <w:rFonts w:hint="eastAsia" w:ascii="仿宋" w:hAnsi="仿宋" w:eastAsia="仿宋" w:cs="仿宋"/>
                <w:color w:val="000000"/>
                <w:sz w:val="24"/>
                <w:lang w:val="en-US" w:eastAsia="zh-CN"/>
              </w:rPr>
              <w:t>0</w:t>
            </w:r>
            <w:r>
              <w:rPr>
                <w:rFonts w:ascii="仿宋" w:hAnsi="仿宋" w:eastAsia="仿宋" w:cs="仿宋"/>
                <w:color w:val="000000"/>
                <w:sz w:val="24"/>
              </w:rPr>
              <w:t>0</w:t>
            </w:r>
          </w:p>
        </w:tc>
      </w:tr>
      <w:tr>
        <w:tblPrEx>
          <w:tblLayout w:type="fixed"/>
          <w:tblCellMar>
            <w:top w:w="0" w:type="dxa"/>
            <w:left w:w="108" w:type="dxa"/>
            <w:bottom w:w="0" w:type="dxa"/>
            <w:right w:w="108" w:type="dxa"/>
          </w:tblCellMar>
        </w:tblPrEx>
        <w:trPr>
          <w:trHeight w:val="20" w:hRule="atLeast"/>
          <w:jc w:val="center"/>
        </w:trPr>
        <w:tc>
          <w:tcPr>
            <w:tcW w:w="1277" w:type="dxa"/>
            <w:vMerge w:val="continue"/>
            <w:tcBorders>
              <w:left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single" w:color="auto" w:sz="4" w:space="0"/>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裁判评分，成绩复核确认，解密并录入上报</w:t>
            </w:r>
          </w:p>
        </w:tc>
        <w:tc>
          <w:tcPr>
            <w:tcW w:w="1756" w:type="dxa"/>
            <w:tcBorders>
              <w:top w:val="single" w:color="auto" w:sz="4" w:space="0"/>
              <w:left w:val="nil"/>
              <w:bottom w:val="single" w:color="auto" w:sz="4" w:space="0"/>
              <w:right w:val="single" w:color="auto" w:sz="4" w:space="0"/>
            </w:tcBorders>
          </w:tcPr>
          <w:p>
            <w:pPr>
              <w:rPr>
                <w:rFonts w:ascii="仿宋" w:hAnsi="仿宋" w:eastAsia="仿宋" w:cs="仿宋"/>
                <w:color w:val="000000"/>
                <w:sz w:val="24"/>
              </w:rPr>
            </w:pPr>
            <w:r>
              <w:rPr>
                <w:rFonts w:ascii="仿宋" w:hAnsi="仿宋" w:eastAsia="仿宋" w:cs="仿宋"/>
                <w:color w:val="000000"/>
                <w:sz w:val="24"/>
              </w:rPr>
              <w:t>1</w:t>
            </w:r>
            <w:r>
              <w:rPr>
                <w:rFonts w:hint="eastAsia" w:ascii="仿宋" w:hAnsi="仿宋" w:eastAsia="仿宋" w:cs="仿宋"/>
                <w:color w:val="000000"/>
                <w:sz w:val="24"/>
                <w:lang w:val="en-US" w:eastAsia="zh-CN"/>
              </w:rPr>
              <w:t>3</w:t>
            </w:r>
            <w:r>
              <w:rPr>
                <w:rFonts w:ascii="仿宋" w:hAnsi="仿宋" w:eastAsia="仿宋" w:cs="仿宋"/>
                <w:color w:val="000000"/>
                <w:sz w:val="24"/>
              </w:rPr>
              <w:t>:</w:t>
            </w:r>
            <w:r>
              <w:rPr>
                <w:rFonts w:hint="eastAsia" w:ascii="仿宋" w:hAnsi="仿宋" w:eastAsia="仿宋" w:cs="仿宋"/>
                <w:color w:val="000000"/>
                <w:sz w:val="24"/>
                <w:lang w:val="en-US" w:eastAsia="zh-CN"/>
              </w:rPr>
              <w:t>1</w:t>
            </w:r>
            <w:r>
              <w:rPr>
                <w:rFonts w:ascii="仿宋" w:hAnsi="仿宋" w:eastAsia="仿宋" w:cs="仿宋"/>
                <w:color w:val="000000"/>
                <w:sz w:val="24"/>
              </w:rPr>
              <w:t>0-</w:t>
            </w:r>
          </w:p>
        </w:tc>
      </w:tr>
      <w:tr>
        <w:tblPrEx>
          <w:tblLayout w:type="fixed"/>
          <w:tblCellMar>
            <w:top w:w="0" w:type="dxa"/>
            <w:left w:w="108" w:type="dxa"/>
            <w:bottom w:w="0" w:type="dxa"/>
            <w:right w:w="108" w:type="dxa"/>
          </w:tblCellMar>
        </w:tblPrEx>
        <w:trPr>
          <w:trHeight w:val="20" w:hRule="atLeast"/>
          <w:jc w:val="center"/>
        </w:trPr>
        <w:tc>
          <w:tcPr>
            <w:tcW w:w="1277"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color w:val="000000"/>
                <w:sz w:val="24"/>
              </w:rPr>
            </w:pPr>
          </w:p>
        </w:tc>
        <w:tc>
          <w:tcPr>
            <w:tcW w:w="4916" w:type="dxa"/>
            <w:tcBorders>
              <w:top w:val="single" w:color="auto" w:sz="4" w:space="0"/>
              <w:left w:val="nil"/>
              <w:bottom w:val="single" w:color="auto" w:sz="4" w:space="0"/>
              <w:right w:val="single" w:color="auto" w:sz="4" w:space="0"/>
            </w:tcBorders>
            <w:vAlign w:val="center"/>
          </w:tcPr>
          <w:p>
            <w:pPr>
              <w:rPr>
                <w:rFonts w:ascii="仿宋" w:hAnsi="仿宋" w:eastAsia="仿宋" w:cs="仿宋"/>
                <w:color w:val="000000"/>
                <w:sz w:val="24"/>
              </w:rPr>
            </w:pPr>
            <w:r>
              <w:rPr>
                <w:rFonts w:hint="eastAsia" w:ascii="仿宋" w:hAnsi="仿宋" w:eastAsia="仿宋" w:cs="仿宋"/>
                <w:color w:val="000000"/>
                <w:sz w:val="24"/>
              </w:rPr>
              <w:t>成绩公布</w:t>
            </w:r>
          </w:p>
        </w:tc>
        <w:tc>
          <w:tcPr>
            <w:tcW w:w="1756" w:type="dxa"/>
            <w:tcBorders>
              <w:top w:val="single" w:color="auto" w:sz="4" w:space="0"/>
              <w:left w:val="nil"/>
              <w:bottom w:val="single" w:color="auto" w:sz="4" w:space="0"/>
              <w:right w:val="single" w:color="auto" w:sz="4" w:space="0"/>
            </w:tcBorders>
          </w:tcPr>
          <w:p>
            <w:pPr>
              <w:rPr>
                <w:rFonts w:ascii="仿宋" w:hAnsi="仿宋" w:eastAsia="仿宋" w:cs="仿宋"/>
                <w:color w:val="000000"/>
                <w:sz w:val="24"/>
              </w:rPr>
            </w:pPr>
            <w:r>
              <w:rPr>
                <w:rFonts w:ascii="仿宋" w:hAnsi="仿宋" w:eastAsia="仿宋" w:cs="仿宋"/>
                <w:color w:val="000000"/>
                <w:sz w:val="24"/>
              </w:rPr>
              <w:t>——</w:t>
            </w:r>
          </w:p>
        </w:tc>
      </w:tr>
    </w:tbl>
    <w:p>
      <w:pPr>
        <w:spacing w:line="560" w:lineRule="exact"/>
        <w:ind w:firstLine="562" w:firstLineChars="200"/>
        <w:rPr>
          <w:rFonts w:ascii="仿宋" w:hAnsi="仿宋" w:eastAsia="仿宋"/>
          <w:b/>
          <w:color w:val="000000"/>
          <w:sz w:val="28"/>
          <w:szCs w:val="28"/>
        </w:rPr>
      </w:pPr>
    </w:p>
    <w:p>
      <w:pPr>
        <w:spacing w:line="560" w:lineRule="exact"/>
        <w:ind w:firstLine="562" w:firstLineChars="200"/>
        <w:rPr>
          <w:rFonts w:ascii="仿宋" w:hAnsi="仿宋" w:eastAsia="仿宋"/>
          <w:b/>
          <w:color w:val="000000"/>
          <w:sz w:val="28"/>
          <w:szCs w:val="28"/>
        </w:rPr>
      </w:pPr>
    </w:p>
    <w:p>
      <w:pPr>
        <w:spacing w:line="560" w:lineRule="exact"/>
        <w:ind w:firstLine="562" w:firstLineChars="200"/>
        <w:rPr>
          <w:rFonts w:ascii="仿宋" w:hAnsi="仿宋" w:eastAsia="仿宋"/>
          <w:b/>
          <w:color w:val="000000"/>
          <w:sz w:val="28"/>
          <w:szCs w:val="28"/>
        </w:rPr>
      </w:pPr>
    </w:p>
    <w:p>
      <w:pPr>
        <w:spacing w:line="560" w:lineRule="exact"/>
        <w:ind w:firstLine="560" w:firstLineChars="200"/>
        <w:rPr>
          <w:rFonts w:ascii="仿宋" w:hAnsi="仿宋" w:eastAsia="仿宋"/>
          <w:color w:val="000000"/>
          <w:sz w:val="28"/>
          <w:szCs w:val="28"/>
        </w:rPr>
      </w:pPr>
      <w:r>
        <w:rPr>
          <w:rFonts w:hint="eastAsia" w:ascii="仿宋" w:hAnsi="仿宋" w:eastAsia="仿宋"/>
          <w:color w:val="000000"/>
          <w:sz w:val="28"/>
          <w:szCs w:val="28"/>
        </w:rPr>
        <w:t>（三）竞赛流程图</w:t>
      </w:r>
    </w:p>
    <w:p>
      <w:pPr>
        <w:jc w:val="center"/>
        <w:rPr>
          <w:rFonts w:ascii="仿宋" w:hAnsi="仿宋" w:eastAsia="仿宋"/>
        </w:rPr>
      </w:pPr>
      <w:r>
        <w:rPr>
          <w:rFonts w:ascii="仿宋" w:hAnsi="仿宋" w:eastAsia="仿宋"/>
          <w:kern w:val="0"/>
        </w:rPr>
        <mc:AlternateContent>
          <mc:Choice Requires="wpg">
            <w:drawing>
              <wp:inline distT="0" distB="0" distL="0" distR="0">
                <wp:extent cx="5274310" cy="6477000"/>
                <wp:effectExtent l="0" t="0" r="2540" b="9525"/>
                <wp:docPr id="1" name="组合 1"/>
                <wp:cNvGraphicFramePr/>
                <a:graphic xmlns:a="http://schemas.openxmlformats.org/drawingml/2006/main">
                  <a:graphicData uri="http://schemas.microsoft.com/office/word/2010/wordprocessingGroup">
                    <wpg:wgp>
                      <wpg:cNvGrpSpPr/>
                      <wpg:grpSpPr>
                        <a:xfrm>
                          <a:off x="0" y="0"/>
                          <a:ext cx="5274310" cy="6477000"/>
                          <a:chOff x="2360" y="2417"/>
                          <a:chExt cx="7200" cy="7608"/>
                        </a:xfrm>
                      </wpg:grpSpPr>
                      <wps:wsp>
                        <wps:cNvPr id="2" name="Picture 7"/>
                        <wps:cNvSpPr>
                          <a:spLocks noChangeAspect="1" noChangeArrowheads="1"/>
                        </wps:cNvSpPr>
                        <wps:spPr bwMode="auto">
                          <a:xfrm>
                            <a:off x="2360" y="2417"/>
                            <a:ext cx="7200" cy="7608"/>
                          </a:xfrm>
                          <a:prstGeom prst="rect">
                            <a:avLst/>
                          </a:prstGeom>
                          <a:noFill/>
                          <a:ln>
                            <a:noFill/>
                          </a:ln>
                        </wps:spPr>
                        <wps:bodyPr rot="0" vert="horz" wrap="square" lIns="91440" tIns="45720" rIns="91440" bIns="45720" anchor="t" anchorCtr="0" upright="1">
                          <a:noAutofit/>
                        </wps:bodyPr>
                      </wps:wsp>
                      <wps:wsp>
                        <wps:cNvPr id="3" name="Flowchart: Alternate Process 8"/>
                        <wps:cNvSpPr>
                          <a:spLocks noChangeArrowheads="1"/>
                        </wps:cNvSpPr>
                        <wps:spPr bwMode="auto">
                          <a:xfrm>
                            <a:off x="3072" y="2678"/>
                            <a:ext cx="1484" cy="571"/>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参赛队注册</w:t>
                              </w:r>
                            </w:p>
                          </w:txbxContent>
                        </wps:txbx>
                        <wps:bodyPr rot="0" vert="horz" wrap="square" lIns="91440" tIns="45720" rIns="91440" bIns="45720" anchor="t" anchorCtr="0" upright="1">
                          <a:noAutofit/>
                        </wps:bodyPr>
                      </wps:wsp>
                      <wps:wsp>
                        <wps:cNvPr id="4" name="Flowchart: Alternate Process 9"/>
                        <wps:cNvSpPr>
                          <a:spLocks noChangeArrowheads="1"/>
                        </wps:cNvSpPr>
                        <wps:spPr bwMode="auto">
                          <a:xfrm>
                            <a:off x="5265" y="2678"/>
                            <a:ext cx="1454" cy="650"/>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赛前说明会</w:t>
                              </w:r>
                            </w:p>
                          </w:txbxContent>
                        </wps:txbx>
                        <wps:bodyPr rot="0" vert="horz" wrap="square" lIns="91440" tIns="45720" rIns="91440" bIns="45720" anchor="t" anchorCtr="0" upright="1">
                          <a:noAutofit/>
                        </wps:bodyPr>
                      </wps:wsp>
                      <wps:wsp>
                        <wps:cNvPr id="5" name="Flowchart: Alternate Process 10"/>
                        <wps:cNvSpPr>
                          <a:spLocks noChangeArrowheads="1"/>
                        </wps:cNvSpPr>
                        <wps:spPr bwMode="auto">
                          <a:xfrm>
                            <a:off x="7295" y="2678"/>
                            <a:ext cx="1453" cy="650"/>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熟悉赛场</w:t>
                              </w:r>
                            </w:p>
                          </w:txbxContent>
                        </wps:txbx>
                        <wps:bodyPr rot="0" vert="horz" wrap="square" lIns="91440" tIns="45720" rIns="91440" bIns="45720" anchor="t" anchorCtr="0" upright="1">
                          <a:noAutofit/>
                        </wps:bodyPr>
                      </wps:wsp>
                      <wps:wsp>
                        <wps:cNvPr id="6" name="Flowchart: Alternate Process 11"/>
                        <wps:cNvSpPr>
                          <a:spLocks noChangeArrowheads="1"/>
                        </wps:cNvSpPr>
                        <wps:spPr bwMode="auto">
                          <a:xfrm>
                            <a:off x="7295" y="3840"/>
                            <a:ext cx="1453" cy="651"/>
                          </a:xfrm>
                          <a:prstGeom prst="flowChartAlternateProcess">
                            <a:avLst/>
                          </a:prstGeom>
                          <a:solidFill>
                            <a:srgbClr val="FFFFFF"/>
                          </a:solidFill>
                          <a:ln w="9525">
                            <a:solidFill>
                              <a:srgbClr val="000000"/>
                            </a:solidFill>
                            <a:miter lim="200000"/>
                          </a:ln>
                        </wps:spPr>
                        <wps:txbx>
                          <w:txbxContent>
                            <w:p>
                              <w:pPr>
                                <w:rPr>
                                  <w:rFonts w:ascii="仿宋_GB2312" w:eastAsia="仿宋_GB2312"/>
                                  <w:szCs w:val="21"/>
                                </w:rPr>
                              </w:pPr>
                              <w:r>
                                <w:rPr>
                                  <w:rFonts w:hint="eastAsia" w:ascii="仿宋" w:hAnsi="仿宋" w:eastAsia="仿宋" w:cs="仿宋"/>
                                  <w:color w:val="000000"/>
                                  <w:sz w:val="24"/>
                                </w:rPr>
                                <w:t xml:space="preserve">检录、两次加密及入场 </w:t>
                              </w:r>
                              <w:r>
                                <w:rPr>
                                  <w:rFonts w:hint="eastAsia" w:ascii="仿宋_GB2312" w:eastAsia="仿宋_GB2312"/>
                                  <w:szCs w:val="21"/>
                                </w:rPr>
                                <w:t xml:space="preserve"> </w:t>
                              </w:r>
                            </w:p>
                          </w:txbxContent>
                        </wps:txbx>
                        <wps:bodyPr rot="0" vert="horz" wrap="square" lIns="91440" tIns="45720" rIns="91440" bIns="45720" anchor="t" anchorCtr="0" upright="1">
                          <a:noAutofit/>
                        </wps:bodyPr>
                      </wps:wsp>
                      <wps:wsp>
                        <wps:cNvPr id="7" name="Flowchart: Alternate Process 12"/>
                        <wps:cNvSpPr>
                          <a:spLocks noChangeArrowheads="1"/>
                        </wps:cNvSpPr>
                        <wps:spPr bwMode="auto">
                          <a:xfrm>
                            <a:off x="5199" y="3840"/>
                            <a:ext cx="1669" cy="651"/>
                          </a:xfrm>
                          <a:prstGeom prst="flowChartAlternateProcess">
                            <a:avLst/>
                          </a:prstGeom>
                          <a:solidFill>
                            <a:srgbClr val="FFFFFF"/>
                          </a:solidFill>
                          <a:ln w="9525">
                            <a:solidFill>
                              <a:srgbClr val="000000"/>
                            </a:solidFill>
                            <a:miter lim="200000"/>
                          </a:ln>
                        </wps:spPr>
                        <wps:txbx>
                          <w:txbxContent>
                            <w:p>
                              <w:pPr>
                                <w:spacing w:line="400" w:lineRule="exact"/>
                                <w:jc w:val="center"/>
                                <w:rPr>
                                  <w:rFonts w:ascii="仿宋" w:hAnsi="仿宋" w:eastAsia="仿宋" w:cs="仿宋"/>
                                  <w:color w:val="000000"/>
                                  <w:sz w:val="24"/>
                                </w:rPr>
                              </w:pPr>
                              <w:r>
                                <w:rPr>
                                  <w:rFonts w:hint="eastAsia" w:ascii="仿宋" w:hAnsi="仿宋" w:eastAsia="仿宋" w:cs="仿宋"/>
                                  <w:color w:val="000000"/>
                                  <w:sz w:val="24"/>
                                </w:rPr>
                                <w:t>30分钟准备</w:t>
                              </w:r>
                            </w:p>
                            <w:p>
                              <w:pPr>
                                <w:rPr>
                                  <w:szCs w:val="21"/>
                                </w:rPr>
                              </w:pPr>
                            </w:p>
                          </w:txbxContent>
                        </wps:txbx>
                        <wps:bodyPr rot="0" vert="horz" wrap="square" lIns="91440" tIns="45720" rIns="91440" bIns="45720" anchor="t" anchorCtr="0" upright="1">
                          <a:noAutofit/>
                        </wps:bodyPr>
                      </wps:wsp>
                      <wps:wsp>
                        <wps:cNvPr id="8" name="Flowchart: Alternate Process 13"/>
                        <wps:cNvSpPr>
                          <a:spLocks noChangeArrowheads="1"/>
                        </wps:cNvSpPr>
                        <wps:spPr bwMode="auto">
                          <a:xfrm>
                            <a:off x="2958" y="3840"/>
                            <a:ext cx="1677" cy="651"/>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宣布比赛开始</w:t>
                              </w:r>
                            </w:p>
                          </w:txbxContent>
                        </wps:txbx>
                        <wps:bodyPr rot="0" vert="horz" wrap="square" lIns="91440" tIns="45720" rIns="91440" bIns="45720" anchor="t" anchorCtr="0" upright="1">
                          <a:noAutofit/>
                        </wps:bodyPr>
                      </wps:wsp>
                      <wps:wsp>
                        <wps:cNvPr id="9" name="Flowchart: Alternate Process 10"/>
                        <wps:cNvSpPr>
                          <a:spLocks noChangeArrowheads="1"/>
                        </wps:cNvSpPr>
                        <wps:spPr bwMode="auto">
                          <a:xfrm>
                            <a:off x="2958" y="4988"/>
                            <a:ext cx="1677" cy="651"/>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比赛操作</w:t>
                              </w:r>
                            </w:p>
                          </w:txbxContent>
                        </wps:txbx>
                        <wps:bodyPr rot="0" vert="horz" wrap="square" lIns="91440" tIns="45720" rIns="91440" bIns="45720" anchor="t" anchorCtr="0" upright="1">
                          <a:noAutofit/>
                        </wps:bodyPr>
                      </wps:wsp>
                      <wps:wsp>
                        <wps:cNvPr id="10" name="Flowchart: Alternate Process 15"/>
                        <wps:cNvSpPr>
                          <a:spLocks noChangeArrowheads="1"/>
                        </wps:cNvSpPr>
                        <wps:spPr bwMode="auto">
                          <a:xfrm>
                            <a:off x="5265" y="4914"/>
                            <a:ext cx="1871" cy="724"/>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宣布比赛结束</w:t>
                              </w:r>
                            </w:p>
                            <w:p>
                              <w:pPr>
                                <w:rPr>
                                  <w:rFonts w:ascii="仿宋" w:hAnsi="仿宋" w:eastAsia="仿宋" w:cs="仿宋"/>
                                  <w:color w:val="000000"/>
                                  <w:sz w:val="24"/>
                                </w:rPr>
                              </w:pPr>
                              <w:r>
                                <w:rPr>
                                  <w:rFonts w:hint="eastAsia" w:ascii="仿宋" w:hAnsi="仿宋" w:eastAsia="仿宋" w:cs="仿宋"/>
                                  <w:color w:val="000000"/>
                                  <w:sz w:val="24"/>
                                </w:rPr>
                                <w:t>，并提交结果</w:t>
                              </w:r>
                            </w:p>
                          </w:txbxContent>
                        </wps:txbx>
                        <wps:bodyPr rot="0" vert="horz" wrap="square" lIns="91440" tIns="45720" rIns="91440" bIns="45720" anchor="t" anchorCtr="0" upright="1">
                          <a:noAutofit/>
                        </wps:bodyPr>
                      </wps:wsp>
                      <wps:wsp>
                        <wps:cNvPr id="11" name="Flowchart: Alternate Process 16"/>
                        <wps:cNvSpPr>
                          <a:spLocks noChangeArrowheads="1"/>
                        </wps:cNvSpPr>
                        <wps:spPr bwMode="auto">
                          <a:xfrm>
                            <a:off x="3342" y="6360"/>
                            <a:ext cx="1139" cy="651"/>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评分</w:t>
                              </w:r>
                            </w:p>
                          </w:txbxContent>
                        </wps:txbx>
                        <wps:bodyPr rot="0" vert="horz" wrap="square" lIns="91440" tIns="45720" rIns="91440" bIns="45720" anchor="t" anchorCtr="0" upright="1">
                          <a:noAutofit/>
                        </wps:bodyPr>
                      </wps:wsp>
                      <wps:wsp>
                        <wps:cNvPr id="12" name="Flowchart: Alternate Process 17"/>
                        <wps:cNvSpPr>
                          <a:spLocks noChangeArrowheads="1"/>
                        </wps:cNvSpPr>
                        <wps:spPr bwMode="auto">
                          <a:xfrm>
                            <a:off x="3071" y="7336"/>
                            <a:ext cx="1737" cy="650"/>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成绩复核确认</w:t>
                              </w:r>
                            </w:p>
                          </w:txbxContent>
                        </wps:txbx>
                        <wps:bodyPr rot="0" vert="horz" wrap="square" lIns="91440" tIns="45720" rIns="91440" bIns="45720" anchor="t" anchorCtr="0" upright="1">
                          <a:noAutofit/>
                        </wps:bodyPr>
                      </wps:wsp>
                      <wps:wsp>
                        <wps:cNvPr id="13" name="Flowchart: Alternate Process 18"/>
                        <wps:cNvSpPr>
                          <a:spLocks noChangeArrowheads="1"/>
                        </wps:cNvSpPr>
                        <wps:spPr bwMode="auto">
                          <a:xfrm>
                            <a:off x="3072" y="8386"/>
                            <a:ext cx="1736" cy="650"/>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解密并录入上报</w:t>
                              </w:r>
                            </w:p>
                          </w:txbxContent>
                        </wps:txbx>
                        <wps:bodyPr rot="0" vert="horz" wrap="square" lIns="91440" tIns="45720" rIns="91440" bIns="45720" anchor="t" anchorCtr="0" upright="1">
                          <a:noAutofit/>
                        </wps:bodyPr>
                      </wps:wsp>
                      <wps:wsp>
                        <wps:cNvPr id="14" name="Flowchart: Alternate Process 19"/>
                        <wps:cNvSpPr>
                          <a:spLocks noChangeArrowheads="1"/>
                        </wps:cNvSpPr>
                        <wps:spPr bwMode="auto">
                          <a:xfrm>
                            <a:off x="3072" y="9374"/>
                            <a:ext cx="1801" cy="651"/>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闭赛式公布成绩</w:t>
                              </w:r>
                            </w:p>
                          </w:txbxContent>
                        </wps:txbx>
                        <wps:bodyPr rot="0" vert="horz" wrap="square" lIns="91440" tIns="45720" rIns="91440" bIns="45720" anchor="t" anchorCtr="0" upright="1">
                          <a:noAutofit/>
                        </wps:bodyPr>
                      </wps:wsp>
                      <wps:wsp>
                        <wps:cNvPr id="15" name="Flowchart: Alternate Process 20"/>
                        <wps:cNvSpPr>
                          <a:spLocks noChangeArrowheads="1"/>
                        </wps:cNvSpPr>
                        <wps:spPr bwMode="auto">
                          <a:xfrm>
                            <a:off x="6796" y="6359"/>
                            <a:ext cx="1310" cy="651"/>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仲裁申请</w:t>
                              </w:r>
                            </w:p>
                          </w:txbxContent>
                        </wps:txbx>
                        <wps:bodyPr rot="0" vert="horz" wrap="square" lIns="91440" tIns="45720" rIns="91440" bIns="45720" anchor="t" anchorCtr="0" upright="1">
                          <a:noAutofit/>
                        </wps:bodyPr>
                      </wps:wsp>
                      <wps:wsp>
                        <wps:cNvPr id="16" name="Flowchart: Alternate Process 21"/>
                        <wps:cNvSpPr>
                          <a:spLocks noChangeArrowheads="1"/>
                        </wps:cNvSpPr>
                        <wps:spPr bwMode="auto">
                          <a:xfrm>
                            <a:off x="6447" y="7336"/>
                            <a:ext cx="2214" cy="650"/>
                          </a:xfrm>
                          <a:prstGeom prst="flowChartAlternateProcess">
                            <a:avLst/>
                          </a:prstGeom>
                          <a:solidFill>
                            <a:srgbClr val="FFFFFF"/>
                          </a:solidFill>
                          <a:ln w="9525">
                            <a:solidFill>
                              <a:srgbClr val="000000"/>
                            </a:solidFill>
                            <a:miter lim="200000"/>
                          </a:ln>
                        </wps:spPr>
                        <wps:txbx>
                          <w:txbxContent>
                            <w:p>
                              <w:pPr>
                                <w:rPr>
                                  <w:rFonts w:ascii="仿宋" w:hAnsi="仿宋" w:eastAsia="仿宋" w:cs="仿宋"/>
                                  <w:color w:val="000000"/>
                                  <w:sz w:val="24"/>
                                </w:rPr>
                              </w:pPr>
                              <w:r>
                                <w:rPr>
                                  <w:rFonts w:hint="eastAsia" w:ascii="仿宋" w:hAnsi="仿宋" w:eastAsia="仿宋" w:cs="仿宋"/>
                                  <w:color w:val="000000"/>
                                  <w:sz w:val="24"/>
                                </w:rPr>
                                <w:t>赛项仲裁委复议回复</w:t>
                              </w:r>
                            </w:p>
                          </w:txbxContent>
                        </wps:txbx>
                        <wps:bodyPr rot="0" vert="horz" wrap="square" lIns="91440" tIns="45720" rIns="91440" bIns="45720" anchor="t" anchorCtr="0" upright="1">
                          <a:noAutofit/>
                        </wps:bodyPr>
                      </wps:wsp>
                      <wps:wsp>
                        <wps:cNvPr id="17" name="Right Arrow 24"/>
                        <wps:cNvSpPr>
                          <a:spLocks noChangeArrowheads="1"/>
                        </wps:cNvSpPr>
                        <wps:spPr bwMode="auto">
                          <a:xfrm>
                            <a:off x="4701" y="2931"/>
                            <a:ext cx="564" cy="141"/>
                          </a:xfrm>
                          <a:prstGeom prst="rightArrow">
                            <a:avLst>
                              <a:gd name="adj1" fmla="val 50000"/>
                              <a:gd name="adj2" fmla="val 100000"/>
                            </a:avLst>
                          </a:prstGeom>
                          <a:solidFill>
                            <a:srgbClr val="FFFFFF"/>
                          </a:solidFill>
                          <a:ln w="9525">
                            <a:solidFill>
                              <a:srgbClr val="000000"/>
                            </a:solidFill>
                            <a:miter lim="200000"/>
                          </a:ln>
                        </wps:spPr>
                        <wps:bodyPr rot="0" vert="horz" wrap="square" lIns="91440" tIns="45720" rIns="91440" bIns="45720" anchor="t" anchorCtr="0" upright="1">
                          <a:noAutofit/>
                        </wps:bodyPr>
                      </wps:wsp>
                      <wps:wsp>
                        <wps:cNvPr id="18" name="Right Arrow 25"/>
                        <wps:cNvSpPr>
                          <a:spLocks noChangeArrowheads="1"/>
                        </wps:cNvSpPr>
                        <wps:spPr bwMode="auto">
                          <a:xfrm>
                            <a:off x="6731" y="2931"/>
                            <a:ext cx="564" cy="141"/>
                          </a:xfrm>
                          <a:prstGeom prst="rightArrow">
                            <a:avLst>
                              <a:gd name="adj1" fmla="val 50000"/>
                              <a:gd name="adj2" fmla="val 100000"/>
                            </a:avLst>
                          </a:prstGeom>
                          <a:solidFill>
                            <a:srgbClr val="FFFFFF"/>
                          </a:solidFill>
                          <a:ln w="9525">
                            <a:solidFill>
                              <a:srgbClr val="000000"/>
                            </a:solidFill>
                            <a:miter lim="200000"/>
                          </a:ln>
                        </wps:spPr>
                        <wps:bodyPr rot="0" vert="horz" wrap="square" lIns="91440" tIns="45720" rIns="91440" bIns="45720" anchor="t" anchorCtr="0" upright="1">
                          <a:noAutofit/>
                        </wps:bodyPr>
                      </wps:wsp>
                      <wps:wsp>
                        <wps:cNvPr id="19" name="Right Arrow 27"/>
                        <wps:cNvSpPr>
                          <a:spLocks noChangeArrowheads="1"/>
                        </wps:cNvSpPr>
                        <wps:spPr bwMode="auto">
                          <a:xfrm rot="10800000">
                            <a:off x="6895" y="4091"/>
                            <a:ext cx="400" cy="141"/>
                          </a:xfrm>
                          <a:prstGeom prst="rightArrow">
                            <a:avLst>
                              <a:gd name="adj1" fmla="val 50000"/>
                              <a:gd name="adj2" fmla="val 100000"/>
                            </a:avLst>
                          </a:prstGeom>
                          <a:solidFill>
                            <a:srgbClr val="FFFFFF"/>
                          </a:solidFill>
                          <a:ln w="9525">
                            <a:solidFill>
                              <a:srgbClr val="000000"/>
                            </a:solidFill>
                            <a:miter lim="200000"/>
                          </a:ln>
                        </wps:spPr>
                        <wps:bodyPr rot="0" vert="horz" wrap="square" lIns="91440" tIns="45720" rIns="91440" bIns="45720" anchor="t" anchorCtr="0" upright="1">
                          <a:noAutofit/>
                        </wps:bodyPr>
                      </wps:wsp>
                      <wps:wsp>
                        <wps:cNvPr id="20" name="Right Arrow 28"/>
                        <wps:cNvSpPr>
                          <a:spLocks noChangeArrowheads="1"/>
                        </wps:cNvSpPr>
                        <wps:spPr bwMode="auto">
                          <a:xfrm rot="10800000">
                            <a:off x="4635" y="4091"/>
                            <a:ext cx="564" cy="141"/>
                          </a:xfrm>
                          <a:prstGeom prst="rightArrow">
                            <a:avLst>
                              <a:gd name="adj1" fmla="val 50000"/>
                              <a:gd name="adj2" fmla="val 100000"/>
                            </a:avLst>
                          </a:prstGeom>
                          <a:solidFill>
                            <a:srgbClr val="FFFFFF"/>
                          </a:solidFill>
                          <a:ln w="9525">
                            <a:solidFill>
                              <a:srgbClr val="000000"/>
                            </a:solidFill>
                            <a:miter lim="200000"/>
                          </a:ln>
                        </wps:spPr>
                        <wps:bodyPr rot="0" vert="horz" wrap="square" lIns="91440" tIns="45720" rIns="91440" bIns="45720" anchor="t" anchorCtr="0" upright="1">
                          <a:noAutofit/>
                        </wps:bodyPr>
                      </wps:wsp>
                      <wps:wsp>
                        <wps:cNvPr id="21" name="Right Arrow 24"/>
                        <wps:cNvSpPr>
                          <a:spLocks noChangeArrowheads="1"/>
                        </wps:cNvSpPr>
                        <wps:spPr bwMode="auto">
                          <a:xfrm>
                            <a:off x="4701" y="5241"/>
                            <a:ext cx="564" cy="141"/>
                          </a:xfrm>
                          <a:prstGeom prst="rightArrow">
                            <a:avLst>
                              <a:gd name="adj1" fmla="val 50000"/>
                              <a:gd name="adj2" fmla="val 100000"/>
                            </a:avLst>
                          </a:prstGeom>
                          <a:solidFill>
                            <a:srgbClr val="FFFFFF"/>
                          </a:solidFill>
                          <a:ln w="9525">
                            <a:solidFill>
                              <a:srgbClr val="000000"/>
                            </a:solidFill>
                            <a:miter lim="200000"/>
                          </a:ln>
                        </wps:spPr>
                        <wps:bodyPr rot="0" vert="horz" wrap="square" lIns="91440" tIns="45720" rIns="91440" bIns="45720" anchor="t" anchorCtr="0" upright="1">
                          <a:noAutofit/>
                        </wps:bodyPr>
                      </wps:wsp>
                      <wps:wsp>
                        <wps:cNvPr id="22" name="Down Arrow 30"/>
                        <wps:cNvSpPr>
                          <a:spLocks noChangeArrowheads="1"/>
                        </wps:cNvSpPr>
                        <wps:spPr bwMode="auto">
                          <a:xfrm>
                            <a:off x="7935" y="3408"/>
                            <a:ext cx="171" cy="432"/>
                          </a:xfrm>
                          <a:prstGeom prst="downArrow">
                            <a:avLst>
                              <a:gd name="adj1" fmla="val 50000"/>
                              <a:gd name="adj2" fmla="val 63158"/>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3" name="Down Arrow 31"/>
                        <wps:cNvSpPr>
                          <a:spLocks noChangeArrowheads="1"/>
                        </wps:cNvSpPr>
                        <wps:spPr bwMode="auto">
                          <a:xfrm>
                            <a:off x="3782" y="4556"/>
                            <a:ext cx="172" cy="432"/>
                          </a:xfrm>
                          <a:prstGeom prst="downArrow">
                            <a:avLst>
                              <a:gd name="adj1" fmla="val 50000"/>
                              <a:gd name="adj2" fmla="val 62791"/>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4" name="Straight Connector 32"/>
                        <wps:cNvCnPr>
                          <a:cxnSpLocks noChangeShapeType="1"/>
                        </wps:cNvCnPr>
                        <wps:spPr bwMode="auto">
                          <a:xfrm>
                            <a:off x="3954" y="6076"/>
                            <a:ext cx="3479" cy="1"/>
                          </a:xfrm>
                          <a:prstGeom prst="straightConnector1">
                            <a:avLst/>
                          </a:prstGeom>
                          <a:noFill/>
                          <a:ln w="9525">
                            <a:solidFill>
                              <a:srgbClr val="000000"/>
                            </a:solidFill>
                            <a:round/>
                          </a:ln>
                        </wps:spPr>
                        <wps:bodyPr/>
                      </wps:wsp>
                      <wps:wsp>
                        <wps:cNvPr id="25" name="Down Arrow 33"/>
                        <wps:cNvSpPr>
                          <a:spLocks noChangeArrowheads="1"/>
                        </wps:cNvSpPr>
                        <wps:spPr bwMode="auto">
                          <a:xfrm>
                            <a:off x="6099" y="5707"/>
                            <a:ext cx="142" cy="369"/>
                          </a:xfrm>
                          <a:prstGeom prst="downArrow">
                            <a:avLst>
                              <a:gd name="adj1" fmla="val 50000"/>
                              <a:gd name="adj2" fmla="val 64965"/>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6" name="Down Arrow 34"/>
                        <wps:cNvSpPr>
                          <a:spLocks noChangeArrowheads="1"/>
                        </wps:cNvSpPr>
                        <wps:spPr bwMode="auto">
                          <a:xfrm>
                            <a:off x="3898" y="6077"/>
                            <a:ext cx="123" cy="283"/>
                          </a:xfrm>
                          <a:prstGeom prst="downArrow">
                            <a:avLst>
                              <a:gd name="adj1" fmla="val 50000"/>
                              <a:gd name="adj2" fmla="val 57520"/>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7" name="Down Arrow 35"/>
                        <wps:cNvSpPr>
                          <a:spLocks noChangeArrowheads="1"/>
                        </wps:cNvSpPr>
                        <wps:spPr bwMode="auto">
                          <a:xfrm>
                            <a:off x="7365" y="6077"/>
                            <a:ext cx="123" cy="283"/>
                          </a:xfrm>
                          <a:prstGeom prst="downArrow">
                            <a:avLst>
                              <a:gd name="adj1" fmla="val 50000"/>
                              <a:gd name="adj2" fmla="val 57520"/>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8" name="Down Arrow 36"/>
                        <wps:cNvSpPr>
                          <a:spLocks noChangeArrowheads="1"/>
                        </wps:cNvSpPr>
                        <wps:spPr bwMode="auto">
                          <a:xfrm>
                            <a:off x="3898" y="7010"/>
                            <a:ext cx="123" cy="325"/>
                          </a:xfrm>
                          <a:prstGeom prst="downArrow">
                            <a:avLst>
                              <a:gd name="adj1" fmla="val 50000"/>
                              <a:gd name="adj2" fmla="val 66057"/>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9" name="Down Arrow 37"/>
                        <wps:cNvSpPr>
                          <a:spLocks noChangeArrowheads="1"/>
                        </wps:cNvSpPr>
                        <wps:spPr bwMode="auto">
                          <a:xfrm>
                            <a:off x="3898" y="7986"/>
                            <a:ext cx="123" cy="400"/>
                          </a:xfrm>
                          <a:prstGeom prst="downArrow">
                            <a:avLst>
                              <a:gd name="adj1" fmla="val 50000"/>
                              <a:gd name="adj2" fmla="val 81301"/>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30" name="Down Arrow 38"/>
                        <wps:cNvSpPr>
                          <a:spLocks noChangeArrowheads="1"/>
                        </wps:cNvSpPr>
                        <wps:spPr bwMode="auto">
                          <a:xfrm>
                            <a:off x="3898" y="9036"/>
                            <a:ext cx="124" cy="338"/>
                          </a:xfrm>
                          <a:prstGeom prst="downArrow">
                            <a:avLst>
                              <a:gd name="adj1" fmla="val 50000"/>
                              <a:gd name="adj2" fmla="val 68145"/>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31" name="Down Arrow 39"/>
                        <wps:cNvSpPr>
                          <a:spLocks noChangeArrowheads="1"/>
                        </wps:cNvSpPr>
                        <wps:spPr bwMode="auto">
                          <a:xfrm>
                            <a:off x="7365" y="7010"/>
                            <a:ext cx="124" cy="325"/>
                          </a:xfrm>
                          <a:prstGeom prst="downArrow">
                            <a:avLst>
                              <a:gd name="adj1" fmla="val 50000"/>
                              <a:gd name="adj2" fmla="val 65524"/>
                            </a:avLst>
                          </a:prstGeom>
                          <a:solidFill>
                            <a:srgbClr val="FFFFFF"/>
                          </a:solidFill>
                          <a:ln w="9525">
                            <a:solidFill>
                              <a:srgbClr val="000000"/>
                            </a:solidFill>
                            <a:miter lim="200000"/>
                          </a:ln>
                        </wps:spPr>
                        <wps:bodyPr rot="0" vert="eaVert" wrap="square" lIns="91440" tIns="45720" rIns="91440" bIns="45720" anchor="t" anchorCtr="0" upright="1">
                          <a:noAutofit/>
                        </wps:bodyPr>
                      </wps:wsp>
                    </wpg:wgp>
                  </a:graphicData>
                </a:graphic>
              </wp:inline>
            </w:drawing>
          </mc:Choice>
          <mc:Fallback>
            <w:pict>
              <v:group id="_x0000_s1026" o:spid="_x0000_s1026" o:spt="203" style="height:510pt;width:415.3pt;" coordorigin="2360,2417" coordsize="7200,7608" o:gfxdata="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">
                <o:lock v:ext="edit" aspectratio="f"/>
                <v:rect id="Picture 7" o:spid="_x0000_s1026" o:spt="1" style="position:absolute;left:2360;top:2417;height:7608;width:7200;"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aspectratio="t"/>
                </v:rect>
                <v:shape id="Flowchart: Alternate Process 8" o:spid="_x0000_s1026" o:spt="176" type="#_x0000_t176" style="position:absolute;left:3072;top:2678;height:571;width:1484;" fillcolor="#FFFFFF" filled="t" stroked="t" coordsize="21600,21600" o:gfxdata="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Makw7sAAADa&#10;AAAADwAAAAAAAAABACAAAAAiAAAAZHJzL2Rvd25yZXYueG1sUEsBAhQAFAAAAAgAh07iQDMvBZ47&#10;AAAAOQAAABAAAAAAAAAAAQAgAAAACgEAAGRycy9zaGFwZXhtbC54bWxQSwUGAAAAAAYABgBbAQAA&#10;tAM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参赛队注册</w:t>
                        </w:r>
                      </w:p>
                    </w:txbxContent>
                  </v:textbox>
                </v:shape>
                <v:shape id="Flowchart: Alternate Process 9" o:spid="_x0000_s1026" o:spt="176" type="#_x0000_t176" style="position:absolute;left:5265;top:2678;height:650;width:1454;" fillcolor="#FFFFFF" filled="t" stroked="t" coordsize="21600,21600" o:gfxdata="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y88t74A&#10;AADaAAAADwAAAAAAAAABACAAAAAiAAAAZHJzL2Rvd25yZXYueG1sUEsBAhQAFAAAAAgAh07iQDMv&#10;BZ47AAAAOQAAABAAAAAAAAAAAQAgAAAADQEAAGRycy9zaGFwZXhtbC54bWxQSwUGAAAAAAYABgBb&#10;AQAAtwM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赛前说明会</w:t>
                        </w:r>
                      </w:p>
                    </w:txbxContent>
                  </v:textbox>
                </v:shape>
                <v:shape id="Flowchart: Alternate Process 10" o:spid="_x0000_s1026" o:spt="176" type="#_x0000_t176" style="position:absolute;left:7295;top:2678;height:650;width:1453;" fillcolor="#FFFFFF" filled="t" stroked="t" coordsize="21600,21600" o:gfxdata="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Y5ksvQAA&#10;ANoAAAAPAAAAAAAAAAEAIAAAACIAAABkcnMvZG93bnJldi54bWxQSwECFAAUAAAACACHTuJAMy8F&#10;njsAAAA5AAAAEAAAAAAAAAABACAAAAAMAQAAZHJzL3NoYXBleG1sLnhtbFBLBQYAAAAABgAGAFsB&#10;AAC2Aw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熟悉赛场</w:t>
                        </w:r>
                      </w:p>
                    </w:txbxContent>
                  </v:textbox>
                </v:shape>
                <v:shape id="Flowchart: Alternate Process 11" o:spid="_x0000_s1026" o:spt="176" type="#_x0000_t176" style="position:absolute;left:7295;top:3840;height:651;width:1453;" fillcolor="#FFFFFF" filled="t" stroked="t" coordsize="21600,21600" o:gfxdata="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LEHW74A&#10;AADaAAAADwAAAAAAAAABACAAAAAiAAAAZHJzL2Rvd25yZXYueG1sUEsBAhQAFAAAAAgAh07iQDMv&#10;BZ47AAAAOQAAABAAAAAAAAAAAQAgAAAADQEAAGRycy9zaGFwZXhtbC54bWxQSwUGAAAAAAYABgBb&#10;AQAAtwMAAAAA&#10;">
                  <v:fill on="t" focussize="0,0"/>
                  <v:stroke color="#000000" miterlimit="2" joinstyle="miter"/>
                  <v:imagedata o:title=""/>
                  <o:lock v:ext="edit" aspectratio="f"/>
                  <v:textbox>
                    <w:txbxContent>
                      <w:p>
                        <w:pPr>
                          <w:rPr>
                            <w:rFonts w:ascii="仿宋_GB2312" w:eastAsia="仿宋_GB2312"/>
                            <w:szCs w:val="21"/>
                          </w:rPr>
                        </w:pPr>
                        <w:r>
                          <w:rPr>
                            <w:rFonts w:hint="eastAsia" w:ascii="仿宋" w:hAnsi="仿宋" w:eastAsia="仿宋" w:cs="仿宋"/>
                            <w:color w:val="000000"/>
                            <w:sz w:val="24"/>
                          </w:rPr>
                          <w:t xml:space="preserve">检录、两次加密及入场 </w:t>
                        </w:r>
                        <w:r>
                          <w:rPr>
                            <w:rFonts w:hint="eastAsia" w:ascii="仿宋_GB2312" w:eastAsia="仿宋_GB2312"/>
                            <w:szCs w:val="21"/>
                          </w:rPr>
                          <w:t xml:space="preserve"> </w:t>
                        </w:r>
                      </w:p>
                    </w:txbxContent>
                  </v:textbox>
                </v:shape>
                <v:shape id="Flowchart: Alternate Process 12" o:spid="_x0000_s1026" o:spt="176" type="#_x0000_t176" style="position:absolute;left:5199;top:3840;height:651;width:1669;" fillcolor="#FFFFFF" filled="t" stroked="t" coordsize="21600,21600" o:gfxdata="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2iwL4A&#10;AADaAAAADwAAAAAAAAABACAAAAAiAAAAZHJzL2Rvd25yZXYueG1sUEsBAhQAFAAAAAgAh07iQDMv&#10;BZ47AAAAOQAAABAAAAAAAAAAAQAgAAAADQEAAGRycy9zaGFwZXhtbC54bWxQSwUGAAAAAAYABgBb&#10;AQAAtwMAAAAA&#10;">
                  <v:fill on="t" focussize="0,0"/>
                  <v:stroke color="#000000" miterlimit="2" joinstyle="miter"/>
                  <v:imagedata o:title=""/>
                  <o:lock v:ext="edit" aspectratio="f"/>
                  <v:textbox>
                    <w:txbxContent>
                      <w:p>
                        <w:pPr>
                          <w:spacing w:line="400" w:lineRule="exact"/>
                          <w:jc w:val="center"/>
                          <w:rPr>
                            <w:rFonts w:ascii="仿宋" w:hAnsi="仿宋" w:eastAsia="仿宋" w:cs="仿宋"/>
                            <w:color w:val="000000"/>
                            <w:sz w:val="24"/>
                          </w:rPr>
                        </w:pPr>
                        <w:r>
                          <w:rPr>
                            <w:rFonts w:hint="eastAsia" w:ascii="仿宋" w:hAnsi="仿宋" w:eastAsia="仿宋" w:cs="仿宋"/>
                            <w:color w:val="000000"/>
                            <w:sz w:val="24"/>
                          </w:rPr>
                          <w:t>30分钟准备</w:t>
                        </w:r>
                      </w:p>
                      <w:p>
                        <w:pPr>
                          <w:rPr>
                            <w:szCs w:val="21"/>
                          </w:rPr>
                        </w:pPr>
                      </w:p>
                    </w:txbxContent>
                  </v:textbox>
                </v:shape>
                <v:shape id="Flowchart: Alternate Process 13" o:spid="_x0000_s1026" o:spt="176" type="#_x0000_t176" style="position:absolute;left:2958;top:3840;height:651;width:1677;" fillcolor="#FFFFFF" filled="t" stroked="t" coordsize="21600,21600" o:gfxdata="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6YjayugAAANoA&#10;AAAPAAAAAAAAAAEAIAAAACIAAABkcnMvZG93bnJldi54bWxQSwECFAAUAAAACACHTuJAMy8FnjsA&#10;AAA5AAAAEAAAAAAAAAABACAAAAAJAQAAZHJzL3NoYXBleG1sLnhtbFBLBQYAAAAABgAGAFsBAACz&#10;Aw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宣布比赛开始</w:t>
                        </w:r>
                      </w:p>
                    </w:txbxContent>
                  </v:textbox>
                </v:shape>
                <v:shape id="Flowchart: Alternate Process 10" o:spid="_x0000_s1026" o:spt="176" type="#_x0000_t176" style="position:absolute;left:2958;top:4988;height:651;width:1677;" fillcolor="#FFFFFF" filled="t" stroked="t" coordsize="21600,21600" o:gfxdata="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S6TKb4A&#10;AADaAAAADwAAAAAAAAABACAAAAAiAAAAZHJzL2Rvd25yZXYueG1sUEsBAhQAFAAAAAgAh07iQDMv&#10;BZ47AAAAOQAAABAAAAAAAAAAAQAgAAAADQEAAGRycy9zaGFwZXhtbC54bWxQSwUGAAAAAAYABgBb&#10;AQAAtwM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比赛操作</w:t>
                        </w:r>
                      </w:p>
                    </w:txbxContent>
                  </v:textbox>
                </v:shape>
                <v:shape id="Flowchart: Alternate Process 15" o:spid="_x0000_s1026" o:spt="176" type="#_x0000_t176" style="position:absolute;left:5265;top:4914;height:724;width:1871;" fillcolor="#FFFFFF" filled="t" stroked="t" coordsize="21600,21600" o:gfxdata="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30Qw74A&#10;AADbAAAADwAAAAAAAAABACAAAAAiAAAAZHJzL2Rvd25yZXYueG1sUEsBAhQAFAAAAAgAh07iQDMv&#10;BZ47AAAAOQAAABAAAAAAAAAAAQAgAAAADQEAAGRycy9zaGFwZXhtbC54bWxQSwUGAAAAAAYABgBb&#10;AQAAtwM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宣布比赛结束</w:t>
                        </w:r>
                      </w:p>
                      <w:p>
                        <w:pPr>
                          <w:rPr>
                            <w:rFonts w:ascii="仿宋" w:hAnsi="仿宋" w:eastAsia="仿宋" w:cs="仿宋"/>
                            <w:color w:val="000000"/>
                            <w:sz w:val="24"/>
                          </w:rPr>
                        </w:pPr>
                        <w:r>
                          <w:rPr>
                            <w:rFonts w:hint="eastAsia" w:ascii="仿宋" w:hAnsi="仿宋" w:eastAsia="仿宋" w:cs="仿宋"/>
                            <w:color w:val="000000"/>
                            <w:sz w:val="24"/>
                          </w:rPr>
                          <w:t>，并提交结果</w:t>
                        </w:r>
                      </w:p>
                    </w:txbxContent>
                  </v:textbox>
                </v:shape>
                <v:shape id="Flowchart: Alternate Process 16" o:spid="_x0000_s1026" o:spt="176" type="#_x0000_t176" style="position:absolute;left:3342;top:6360;height:651;width:1139;" fillcolor="#FFFFFF" filled="t" stroked="t" coordsize="21600,21600" o:gfxdata="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QxtVi/&#10;AAAA2wAAAA8AAAAAAAAAAQAgAAAAIgAAAGRycy9kb3ducmV2LnhtbFBLAQIUABQAAAAIAIdO4kAz&#10;LwWeOwAAADkAAAAQAAAAAAAAAAEAIAAAAA4BAABkcnMvc2hhcGV4bWwueG1sUEsFBgAAAAAGAAYA&#10;WwEAALgDA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评分</w:t>
                        </w:r>
                      </w:p>
                    </w:txbxContent>
                  </v:textbox>
                </v:shape>
                <v:shape id="Flowchart: Alternate Process 17" o:spid="_x0000_s1026" o:spt="176" type="#_x0000_t176" style="position:absolute;left:3071;top:7336;height:650;width:1737;" fillcolor="#FFFFFF" filled="t" stroked="t" coordsize="21600,21600" o:gfxdata="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4ysvvQAA&#10;ANsAAAAPAAAAAAAAAAEAIAAAACIAAABkcnMvZG93bnJldi54bWxQSwECFAAUAAAACACHTuJAMy8F&#10;njsAAAA5AAAAEAAAAAAAAAABACAAAAAMAQAAZHJzL3NoYXBleG1sLnhtbFBLBQYAAAAABgAGAFsB&#10;AAC2Aw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成绩复核确认</w:t>
                        </w:r>
                      </w:p>
                    </w:txbxContent>
                  </v:textbox>
                </v:shape>
                <v:shape id="Flowchart: Alternate Process 18" o:spid="_x0000_s1026" o:spt="176" type="#_x0000_t176" style="position:absolute;left:3072;top:8386;height:650;width:1736;" fillcolor="#FFFFFF" filled="t" stroked="t" coordsize="21600,21600" o:gfxdata="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7r460vQAA&#10;ANsAAAAPAAAAAAAAAAEAIAAAACIAAABkcnMvZG93bnJldi54bWxQSwECFAAUAAAACACHTuJAMy8F&#10;njsAAAA5AAAAEAAAAAAAAAABACAAAAAMAQAAZHJzL3NoYXBleG1sLnhtbFBLBQYAAAAABgAGAFsB&#10;AAC2Aw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解密并录入上报</w:t>
                        </w:r>
                      </w:p>
                    </w:txbxContent>
                  </v:textbox>
                </v:shape>
                <v:shape id="Flowchart: Alternate Process 19" o:spid="_x0000_s1026" o:spt="176" type="#_x0000_t176" style="position:absolute;left:3072;top:9374;height:651;width:1801;" fillcolor="#FFFFFF" filled="t" stroked="t" coordsize="21600,21600" o:gfxdata="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RGFsC/&#10;AAAA2wAAAA8AAAAAAAAAAQAgAAAAIgAAAGRycy9kb3ducmV2LnhtbFBLAQIUABQAAAAIAIdO4kAz&#10;LwWeOwAAADkAAAAQAAAAAAAAAAEAIAAAAA4BAABkcnMvc2hhcGV4bWwueG1sUEsFBgAAAAAGAAYA&#10;WwEAALgDA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闭赛式公布成绩</w:t>
                        </w:r>
                      </w:p>
                    </w:txbxContent>
                  </v:textbox>
                </v:shape>
                <v:shape id="Flowchart: Alternate Process 20" o:spid="_x0000_s1026" o:spt="176" type="#_x0000_t176" style="position:absolute;left:6796;top:6359;height:651;width:1310;" fillcolor="#FFFFFF" filled="t" stroked="t" coordsize="21600,21600" o:gfxdata="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sKs1u/&#10;AAAA2wAAAA8AAAAAAAAAAQAgAAAAIgAAAGRycy9kb3ducmV2LnhtbFBLAQIUABQAAAAIAIdO4kAz&#10;LwWeOwAAADkAAAAQAAAAAAAAAAEAIAAAAA4BAABkcnMvc2hhcGV4bWwueG1sUEsFBgAAAAAGAAYA&#10;WwEAALgDA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仲裁申请</w:t>
                        </w:r>
                      </w:p>
                    </w:txbxContent>
                  </v:textbox>
                </v:shape>
                <v:shape id="Flowchart: Alternate Process 21" o:spid="_x0000_s1026" o:spt="176" type="#_x0000_t176" style="position:absolute;left:6447;top:7336;height:650;width:2214;" fillcolor="#FFFFFF" filled="t" stroked="t" coordsize="21600,21600" o:gfxdata="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vYLSy/&#10;AAAA2wAAAA8AAAAAAAAAAQAgAAAAIgAAAGRycy9kb3ducmV2LnhtbFBLAQIUABQAAAAIAIdO4kAz&#10;LwWeOwAAADkAAAAQAAAAAAAAAAEAIAAAAA4BAABkcnMvc2hhcGV4bWwueG1sUEsFBgAAAAAGAAYA&#10;WwEAALgDAAAAAA==&#10;">
                  <v:fill on="t" focussize="0,0"/>
                  <v:stroke color="#000000" miterlimit="2" joinstyle="miter"/>
                  <v:imagedata o:title=""/>
                  <o:lock v:ext="edit" aspectratio="f"/>
                  <v:textbox>
                    <w:txbxContent>
                      <w:p>
                        <w:pPr>
                          <w:rPr>
                            <w:rFonts w:ascii="仿宋" w:hAnsi="仿宋" w:eastAsia="仿宋" w:cs="仿宋"/>
                            <w:color w:val="000000"/>
                            <w:sz w:val="24"/>
                          </w:rPr>
                        </w:pPr>
                        <w:r>
                          <w:rPr>
                            <w:rFonts w:hint="eastAsia" w:ascii="仿宋" w:hAnsi="仿宋" w:eastAsia="仿宋" w:cs="仿宋"/>
                            <w:color w:val="000000"/>
                            <w:sz w:val="24"/>
                          </w:rPr>
                          <w:t>赛项仲裁委复议回复</w:t>
                        </w:r>
                      </w:p>
                    </w:txbxContent>
                  </v:textbox>
                </v:shape>
                <v:shape id="Right Arrow 24" o:spid="_x0000_s1026" o:spt="13" type="#_x0000_t13" style="position:absolute;left:4701;top:2931;height:141;width:564;" fillcolor="#FFFFFF" filled="t" stroked="t" coordsize="21600,21600" o:gfxdata="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n+IZvQAA&#10;ANsAAAAPAAAAAAAAAAEAIAAAACIAAABkcnMvZG93bnJldi54bWxQSwECFAAUAAAACACHTuJAMy8F&#10;njsAAAA5AAAAEAAAAAAAAAABACAAAAAMAQAAZHJzL3NoYXBleG1sLnhtbFBLBQYAAAAABgAGAFsB&#10;AAC2AwAAAAA=&#10;" adj="16200,5400">
                  <v:fill on="t" focussize="0,0"/>
                  <v:stroke color="#000000" miterlimit="2" joinstyle="miter"/>
                  <v:imagedata o:title=""/>
                  <o:lock v:ext="edit" aspectratio="f"/>
                </v:shape>
                <v:shape id="Right Arrow 25" o:spid="_x0000_s1026" o:spt="13" type="#_x0000_t13" style="position:absolute;left:6731;top:2931;height:141;width:564;" fillcolor="#FFFFFF" filled="t" stroked="t" coordsize="21600,21600" o:gfxdata="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QB2a74A&#10;AADbAAAADwAAAAAAAAABACAAAAAiAAAAZHJzL2Rvd25yZXYueG1sUEsBAhQAFAAAAAgAh07iQDMv&#10;BZ47AAAAOQAAABAAAAAAAAAAAQAgAAAADQEAAGRycy9zaGFwZXhtbC54bWxQSwUGAAAAAAYABgBb&#10;AQAAtwMAAAAA&#10;" adj="16200,5400">
                  <v:fill on="t" focussize="0,0"/>
                  <v:stroke color="#000000" miterlimit="2" joinstyle="miter"/>
                  <v:imagedata o:title=""/>
                  <o:lock v:ext="edit" aspectratio="f"/>
                </v:shape>
                <v:shape id="Right Arrow 27" o:spid="_x0000_s1026" o:spt="13" type="#_x0000_t13" style="position:absolute;left:6895;top:4091;height:141;width:400;rotation:11796480f;" fillcolor="#FFFFFF" filled="t" stroked="t" coordsize="21600,21600" o:gfxdata="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WJ9oFLgAAADbAAAA&#10;DwAAAAAAAAABACAAAAAiAAAAZHJzL2Rvd25yZXYueG1sUEsBAhQAFAAAAAgAh07iQDMvBZ47AAAA&#10;OQAAABAAAAAAAAAAAQAgAAAABwEAAGRycy9zaGFwZXhtbC54bWxQSwUGAAAAAAYABgBbAQAAsQMA&#10;AAAA&#10;" adj="13986,5400">
                  <v:fill on="t" focussize="0,0"/>
                  <v:stroke color="#000000" miterlimit="2" joinstyle="miter"/>
                  <v:imagedata o:title=""/>
                  <o:lock v:ext="edit" aspectratio="f"/>
                </v:shape>
                <v:shape id="Right Arrow 28" o:spid="_x0000_s1026" o:spt="13" type="#_x0000_t13" style="position:absolute;left:4635;top:4091;height:141;width:564;rotation:11796480f;" fillcolor="#FFFFFF" filled="t" stroked="t" coordsize="21600,21600" o:gfxdata="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GaIzYq5AAAA2wAA&#10;AA8AAAAAAAAAAQAgAAAAIgAAAGRycy9kb3ducmV2LnhtbFBLAQIUABQAAAAIAIdO4kAzLwWeOwAA&#10;ADkAAAAQAAAAAAAAAAEAIAAAAAgBAABkcnMvc2hhcGV4bWwueG1sUEsFBgAAAAAGAAYAWwEAALID&#10;AAAAAA==&#10;" adj="16200,5400">
                  <v:fill on="t" focussize="0,0"/>
                  <v:stroke color="#000000" miterlimit="2" joinstyle="miter"/>
                  <v:imagedata o:title=""/>
                  <o:lock v:ext="edit" aspectratio="f"/>
                </v:shape>
                <v:shape id="Right Arrow 24" o:spid="_x0000_s1026" o:spt="13" type="#_x0000_t13" style="position:absolute;left:4701;top:5241;height:141;width:564;" fillcolor="#FFFFFF" filled="t" stroked="t" coordsize="21600,21600" o:gfxdata="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5WFUu/&#10;AAAA2wAAAA8AAAAAAAAAAQAgAAAAIgAAAGRycy9kb3ducmV2LnhtbFBLAQIUABQAAAAIAIdO4kAz&#10;LwWeOwAAADkAAAAQAAAAAAAAAAEAIAAAAA4BAABkcnMvc2hhcGV4bWwueG1sUEsFBgAAAAAGAAYA&#10;WwEAALgDAAAAAA==&#10;" adj="16200,5400">
                  <v:fill on="t" focussize="0,0"/>
                  <v:stroke color="#000000" miterlimit="2" joinstyle="miter"/>
                  <v:imagedata o:title=""/>
                  <o:lock v:ext="edit" aspectratio="f"/>
                </v:shape>
                <v:shape id="Down Arrow 30" o:spid="_x0000_s1026" o:spt="67" type="#_x0000_t67" style="position:absolute;left:7935;top:3408;height:432;width:171;" fillcolor="#FFFFFF" filled="t" stroked="t" coordsize="21600,21600" o:gfxdata="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9Q1RTtwAAANsAAAAP&#10;AAAAAAAAAAEAIAAAACIAAABkcnMvZG93bnJldi54bWxQSwECFAAUAAAACACHTuJAMy8FnjsAAAA5&#10;AAAAEAAAAAAAAAABACAAAAAGAQAAZHJzL3NoYXBleG1sLnhtbFBLBQYAAAAABgAGAFsBAACwAwAA&#10;AAA=&#10;" adj="16200,5400">
                  <v:fill on="t" focussize="0,0"/>
                  <v:stroke color="#000000" miterlimit="2" joinstyle="miter"/>
                  <v:imagedata o:title=""/>
                  <o:lock v:ext="edit" aspectratio="f"/>
                  <v:textbox style="layout-flow:vertical-ideographic;"/>
                </v:shape>
                <v:shape id="Down Arrow 31" o:spid="_x0000_s1026" o:spt="67" type="#_x0000_t67" style="position:absolute;left:3782;top:4556;height:432;width:172;" fillcolor="#FFFFFF" filled="t" stroked="t" coordsize="21600,21600" o:gfxdata="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SD/HItwAAANsAAAAP&#10;AAAAAAAAAAEAIAAAACIAAABkcnMvZG93bnJldi54bWxQSwECFAAUAAAACACHTuJAMy8FnjsAAAA5&#10;AAAAEAAAAAAAAAABACAAAAAGAQAAZHJzL3NoYXBleG1sLnhtbFBLBQYAAAAABgAGAFsBAACwAwAA&#10;AAA=&#10;" adj="16200,5400">
                  <v:fill on="t" focussize="0,0"/>
                  <v:stroke color="#000000" miterlimit="2" joinstyle="miter"/>
                  <v:imagedata o:title=""/>
                  <o:lock v:ext="edit" aspectratio="f"/>
                  <v:textbox style="layout-flow:vertical-ideographic;"/>
                </v:shape>
                <v:shape id="Straight Connector 32" o:spid="_x0000_s1026" o:spt="32" type="#_x0000_t32" style="position:absolute;left:3954;top:6076;height:1;width:3479;" filled="f" stroked="t" coordsize="21600,21600" o:gfxdata="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9Hxre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shape>
                <v:shape id="Down Arrow 33" o:spid="_x0000_s1026" o:spt="67" type="#_x0000_t67" style="position:absolute;left:6099;top:5707;height:369;width:142;" fillcolor="#FFFFFF" filled="t" stroked="t" coordsize="21600,21600" o:gfxdata="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yqswntwAAANsAAAAP&#10;AAAAAAAAAAEAIAAAACIAAABkcnMvZG93bnJldi54bWxQSwECFAAUAAAACACHTuJAMy8FnjsAAAA5&#10;AAAAEAAAAAAAAAABACAAAAAGAQAAZHJzL3NoYXBleG1sLnhtbFBLBQYAAAAABgAGAFsBAACwAwAA&#10;AAA=&#10;" adj="16200,5400">
                  <v:fill on="t" focussize="0,0"/>
                  <v:stroke color="#000000" miterlimit="2" joinstyle="miter"/>
                  <v:imagedata o:title=""/>
                  <o:lock v:ext="edit" aspectratio="f"/>
                  <v:textbox style="layout-flow:vertical-ideographic;"/>
                </v:shape>
                <v:shape id="Down Arrow 34" o:spid="_x0000_s1026" o:spt="67" type="#_x0000_t67" style="position:absolute;left:3898;top:6077;height:283;width:123;" fillcolor="#FFFFFF" filled="t" stroked="t" coordsize="21600,21600" o:gfxdata="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GhJJLgAAADbAAAA&#10;DwAAAAAAAAABACAAAAAiAAAAZHJzL2Rvd25yZXYueG1sUEsBAhQAFAAAAAgAh07iQDMvBZ47AAAA&#10;OQAAABAAAAAAAAAAAQAgAAAABwEAAGRycy9zaGFwZXhtbC54bWxQSwUGAAAAAAYABgBbAQAAsQMA&#10;AAAA&#10;" adj="16201,5400">
                  <v:fill on="t" focussize="0,0"/>
                  <v:stroke color="#000000" miterlimit="2" joinstyle="miter"/>
                  <v:imagedata o:title=""/>
                  <o:lock v:ext="edit" aspectratio="f"/>
                  <v:textbox style="layout-flow:vertical-ideographic;"/>
                </v:shape>
                <v:shape id="Down Arrow 35" o:spid="_x0000_s1026" o:spt="67" type="#_x0000_t67" style="position:absolute;left:7365;top:6077;height:283;width:123;" fillcolor="#FFFFFF" filled="t" stroked="t" coordsize="21600,21600" o:gfxdata="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HJOy/ugAAANsA&#10;AAAPAAAAAAAAAAEAIAAAACIAAABkcnMvZG93bnJldi54bWxQSwECFAAUAAAACACHTuJAMy8FnjsA&#10;AAA5AAAAEAAAAAAAAAABACAAAAAJAQAAZHJzL3NoYXBleG1sLnhtbFBLBQYAAAAABgAGAFsBAACz&#10;AwAAAAA=&#10;" adj="16201,5400">
                  <v:fill on="t" focussize="0,0"/>
                  <v:stroke color="#000000" miterlimit="2" joinstyle="miter"/>
                  <v:imagedata o:title=""/>
                  <o:lock v:ext="edit" aspectratio="f"/>
                  <v:textbox style="layout-flow:vertical-ideographic;"/>
                </v:shape>
                <v:shape id="Down Arrow 36" o:spid="_x0000_s1026" o:spt="67" type="#_x0000_t67" style="position:absolute;left:3898;top:7010;height:325;width:123;" fillcolor="#FFFFFF" filled="t" stroked="t" coordsize="21600,21600" o:gfxdata="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cq2O5tAAAANsAAAAPAAAA&#10;AAAAAAEAIAAAACIAAABkcnMvZG93bnJldi54bWxQSwECFAAUAAAACACHTuJAMy8FnjsAAAA5AAAA&#10;EAAAAAAAAAABACAAAAADAQAAZHJzL3NoYXBleG1sLnhtbFBLBQYAAAAABgAGAFsBAACtAwAAAAA=&#10;" adj="16200,5400">
                  <v:fill on="t" focussize="0,0"/>
                  <v:stroke color="#000000" miterlimit="2" joinstyle="miter"/>
                  <v:imagedata o:title=""/>
                  <o:lock v:ext="edit" aspectratio="f"/>
                  <v:textbox style="layout-flow:vertical-ideographic;"/>
                </v:shape>
                <v:shape id="Down Arrow 37" o:spid="_x0000_s1026" o:spt="67" type="#_x0000_t67" style="position:absolute;left:3898;top:7986;height:400;width:123;" fillcolor="#FFFFFF" filled="t" stroked="t" coordsize="21600,21600" o:gfxdata="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z58YitwAAANsAAAAP&#10;AAAAAAAAAAEAIAAAACIAAABkcnMvZG93bnJldi54bWxQSwECFAAUAAAACACHTuJAMy8FnjsAAAA5&#10;AAAAEAAAAAAAAAABACAAAAAGAQAAZHJzL3NoYXBleG1sLnhtbFBLBQYAAAAABgAGAFsBAACwAwAA&#10;AAA=&#10;" adj="16200,5400">
                  <v:fill on="t" focussize="0,0"/>
                  <v:stroke color="#000000" miterlimit="2" joinstyle="miter"/>
                  <v:imagedata o:title=""/>
                  <o:lock v:ext="edit" aspectratio="f"/>
                  <v:textbox style="layout-flow:vertical-ideographic;"/>
                </v:shape>
                <v:shape id="Down Arrow 38" o:spid="_x0000_s1026" o:spt="67" type="#_x0000_t67" style="position:absolute;left:3898;top:9036;height:338;width:124;" fillcolor="#FFFFFF" filled="t" stroked="t" coordsize="21600,21600" o:gfxdata="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" adj="16201,5400">
                  <v:fill on="t" focussize="0,0"/>
                  <v:stroke color="#000000" miterlimit="2" joinstyle="miter"/>
                  <v:imagedata o:title=""/>
                  <o:lock v:ext="edit" aspectratio="f"/>
                  <v:textbox style="layout-flow:vertical-ideographic;"/>
                </v:shape>
                <v:shape id="Down Arrow 39" o:spid="_x0000_s1026" o:spt="67" type="#_x0000_t67" style="position:absolute;left:7365;top:7010;height:325;width:124;" fillcolor="#FFFFFF" filled="t" stroked="t" coordsize="21600,21600" o:gfxdata="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iWEeNugAAANsA&#10;AAAPAAAAAAAAAAEAIAAAACIAAABkcnMvZG93bnJldi54bWxQSwECFAAUAAAACACHTuJAMy8FnjsA&#10;AAA5AAAAEAAAAAAAAAABACAAAAAJAQAAZHJzL3NoYXBleG1sLnhtbFBLBQYAAAAABgAGAFsBAACz&#10;AwAAAAA=&#10;" adj="16201,5400">
                  <v:fill on="t" focussize="0,0"/>
                  <v:stroke color="#000000" miterlimit="2" joinstyle="miter"/>
                  <v:imagedata o:title=""/>
                  <o:lock v:ext="edit" aspectratio="f"/>
                  <v:textbox style="layout-flow:vertical-ideographic;"/>
                </v:shape>
                <w10:wrap type="none"/>
                <w10:anchorlock/>
              </v:group>
            </w:pict>
          </mc:Fallback>
        </mc:AlternateContent>
      </w:r>
    </w:p>
    <w:p>
      <w:pPr>
        <w:spacing w:line="560" w:lineRule="exact"/>
        <w:rPr>
          <w:rFonts w:ascii="仿宋" w:hAnsi="仿宋" w:eastAsia="仿宋" w:cs="OEEEEV+FZHTJW--GB1-0"/>
          <w:color w:val="000000"/>
          <w:sz w:val="28"/>
          <w:szCs w:val="28"/>
        </w:rPr>
      </w:pPr>
    </w:p>
    <w:p>
      <w:pPr>
        <w:jc w:val="center"/>
        <w:rPr>
          <w:rFonts w:ascii="仿宋" w:hAnsi="仿宋" w:eastAsia="仿宋"/>
        </w:rPr>
      </w:pPr>
    </w:p>
    <w:p>
      <w:pPr>
        <w:spacing w:line="560" w:lineRule="exact"/>
        <w:rPr>
          <w:rFonts w:ascii="仿宋" w:hAnsi="仿宋" w:eastAsia="仿宋" w:cs="OEEEEV+FZHTJW--GB1-0"/>
          <w:color w:val="000000"/>
          <w:sz w:val="28"/>
          <w:szCs w:val="28"/>
        </w:rPr>
      </w:pPr>
    </w:p>
    <w:p>
      <w:pPr>
        <w:spacing w:line="560" w:lineRule="exact"/>
        <w:rPr>
          <w:rFonts w:ascii="仿宋" w:hAnsi="仿宋" w:eastAsia="仿宋" w:cs="OEEEEV+FZHTJW--GB1-0"/>
          <w:color w:val="000000"/>
          <w:sz w:val="28"/>
          <w:szCs w:val="28"/>
        </w:rPr>
      </w:pPr>
    </w:p>
    <w:p>
      <w:pPr>
        <w:spacing w:line="560" w:lineRule="exact"/>
        <w:rPr>
          <w:rFonts w:ascii="仿宋" w:hAnsi="仿宋" w:eastAsia="仿宋" w:cs="OEEEEV+FZHTJW--GB1-0"/>
          <w:color w:val="000000"/>
          <w:sz w:val="28"/>
          <w:szCs w:val="28"/>
        </w:rPr>
      </w:pPr>
    </w:p>
    <w:p>
      <w:pPr>
        <w:spacing w:line="560" w:lineRule="exact"/>
        <w:rPr>
          <w:rFonts w:ascii="仿宋" w:hAnsi="仿宋" w:eastAsia="仿宋" w:cs="OEEEEV+FZHTJW--GB1-0"/>
          <w:color w:val="000000"/>
          <w:sz w:val="28"/>
          <w:szCs w:val="28"/>
        </w:rPr>
      </w:pP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六、竞赛试题</w:t>
      </w:r>
    </w:p>
    <w:p>
      <w:pPr>
        <w:adjustRightInd w:val="0"/>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color w:val="000000"/>
          <w:sz w:val="28"/>
          <w:szCs w:val="28"/>
        </w:rPr>
        <w:t>本赛项在正式比赛前公开竞赛试题。公开内容：赛题纸质文档电子版及竞赛辅助技术资料电子版。</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七、竞赛规则</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（一）报名资格</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1.参赛选手须为2名</w:t>
      </w:r>
      <w:r>
        <w:rPr>
          <w:rFonts w:hint="eastAsia" w:ascii="仿宋" w:hAnsi="仿宋" w:eastAsia="仿宋" w:cs="仿宋_GB2312"/>
          <w:color w:val="000000"/>
          <w:sz w:val="28"/>
          <w:szCs w:val="28"/>
          <w:lang w:eastAsia="zh-CN"/>
        </w:rPr>
        <w:t>2018</w:t>
      </w:r>
      <w:r>
        <w:rPr>
          <w:rFonts w:hint="eastAsia" w:ascii="仿宋" w:hAnsi="仿宋" w:eastAsia="仿宋" w:cs="仿宋_GB2312"/>
          <w:color w:val="000000"/>
          <w:sz w:val="28"/>
          <w:szCs w:val="28"/>
        </w:rPr>
        <w:t>年度高职院校全日制在籍学生。本科院校中高职类全日制在籍学生；五年制高职四、五年级学生可报名参加高职组比赛。高职组参赛选手年龄须不超过25周岁（当年），年龄计算的截止时间以</w:t>
      </w:r>
      <w:r>
        <w:rPr>
          <w:rFonts w:hint="eastAsia" w:ascii="仿宋" w:hAnsi="仿宋" w:eastAsia="仿宋" w:cs="仿宋_GB2312"/>
          <w:color w:val="000000"/>
          <w:sz w:val="28"/>
          <w:szCs w:val="28"/>
          <w:lang w:eastAsia="zh-CN"/>
        </w:rPr>
        <w:t>2018</w:t>
      </w:r>
      <w:r>
        <w:rPr>
          <w:rFonts w:hint="eastAsia" w:ascii="仿宋" w:hAnsi="仿宋" w:eastAsia="仿宋" w:cs="仿宋_GB2312"/>
          <w:color w:val="000000"/>
          <w:sz w:val="28"/>
          <w:szCs w:val="28"/>
        </w:rPr>
        <w:t>年5月1日为准。</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2.每参赛队限报2名指导教师，指导教师须为本校专兼职教师。</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3.每个学校</w:t>
      </w:r>
      <w:r>
        <w:rPr>
          <w:rFonts w:hint="eastAsia" w:ascii="仿宋" w:hAnsi="仿宋" w:eastAsia="仿宋" w:cs="仿宋_GB2312"/>
          <w:color w:val="000000"/>
          <w:sz w:val="28"/>
          <w:szCs w:val="28"/>
          <w:lang w:eastAsia="zh-CN"/>
        </w:rPr>
        <w:t>限</w:t>
      </w:r>
      <w:r>
        <w:rPr>
          <w:rFonts w:hint="eastAsia" w:ascii="仿宋" w:hAnsi="仿宋" w:eastAsia="仿宋" w:cs="仿宋_GB2312"/>
          <w:color w:val="000000"/>
          <w:sz w:val="28"/>
          <w:szCs w:val="28"/>
        </w:rPr>
        <w:t>报名</w:t>
      </w:r>
      <w:r>
        <w:rPr>
          <w:rFonts w:hint="eastAsia" w:ascii="仿宋" w:hAnsi="仿宋" w:eastAsia="仿宋" w:cs="仿宋_GB2312"/>
          <w:color w:val="000000"/>
          <w:sz w:val="28"/>
          <w:szCs w:val="28"/>
          <w:lang w:eastAsia="zh-CN"/>
        </w:rPr>
        <w:t>两</w:t>
      </w:r>
      <w:r>
        <w:rPr>
          <w:rFonts w:hint="eastAsia" w:ascii="仿宋" w:hAnsi="仿宋" w:eastAsia="仿宋" w:cs="仿宋_GB2312"/>
          <w:color w:val="000000"/>
          <w:sz w:val="28"/>
          <w:szCs w:val="28"/>
        </w:rPr>
        <w:t>支参赛队伍。</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（二）熟悉场地</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1.正式比赛前1天，统一安排各参赛队有序地熟悉场地，熟悉场地限定在观摩区活动，不允许进入比赛区。</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2.熟悉场地时严禁与现场工作人员进行交流，不发表没有根据以及有损大赛整体形象的言论。</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3.熟悉场地期间严禁拥挤，喧哗，以免发生意外</w:t>
      </w:r>
      <w:bookmarkStart w:id="5" w:name="_GoBack"/>
      <w:bookmarkEnd w:id="5"/>
      <w:r>
        <w:rPr>
          <w:rFonts w:hint="eastAsia" w:ascii="仿宋" w:hAnsi="仿宋" w:eastAsia="仿宋" w:cs="仿宋_GB2312"/>
          <w:color w:val="000000"/>
          <w:sz w:val="28"/>
          <w:szCs w:val="28"/>
        </w:rPr>
        <w:t>事故。</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（三）赛场要求</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1.参赛队选手在比赛开始前60分钟到赛场指定地点报到，接受工作人员对选手身份、资格和有关证件的检查。</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2.参赛队赛位由两次加密确定，确定的赛位不得擅自变更、调整。</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3.参赛队选手进入指定赛位后，在裁判长发布“赛前30分钟准备”指令之前，不得进行包括设备检查和调试在内的任何操作。竞赛计时开始后，参赛队选手未到的，视为自动放弃。</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4.比赛期间赛项执委会适时提供饮水，参赛队选手不得离开指定的场地，且休息、饮水、上洗手间等，不安排专门用时，统一计在竞赛时间内。</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5.竞赛所需的电脑、配套硬件、软件、检测维修所用的工具仪器统一提供，参赛队选手可以根据竞赛需要自行选择使用（不得自带）。</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6.严禁参赛队选手私自携带通信、存储、照相、摄录等设备进入赛场。</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7.所有人员在赛场内不得喧哗，不得有影响其他选手完成竞赛任务的行为。</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8.竞赛操作结束时，参赛队选手应按照指定路线有序离开赛场。</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（四）成绩评定及公布</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1.竞赛结束后，由各裁判组对参赛选手提交的竞赛结果逐项评分，并进行成绩汇总和复核，汇总复核后的成绩经裁判长、监督人员核准签字后上交执委会，经执委会核准确认后，在赛项闭赛式上公布。</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2.竞赛结果的评分方法及标准见本规程的“十一成绩评定”项。</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八、竞赛环境</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赛场总面积不小于1</w:t>
      </w:r>
      <w:r>
        <w:rPr>
          <w:rFonts w:hint="eastAsia" w:ascii="仿宋" w:hAnsi="仿宋" w:eastAsia="仿宋" w:cs="仿宋_GB2312"/>
          <w:color w:val="000000"/>
          <w:sz w:val="28"/>
          <w:szCs w:val="28"/>
          <w:lang w:val="en-US" w:eastAsia="zh-CN"/>
        </w:rPr>
        <w:t>00</w:t>
      </w:r>
      <w:r>
        <w:rPr>
          <w:rFonts w:hint="eastAsia" w:ascii="仿宋" w:hAnsi="仿宋" w:eastAsia="仿宋" w:cs="仿宋_GB2312"/>
          <w:color w:val="000000"/>
          <w:sz w:val="28"/>
          <w:szCs w:val="28"/>
        </w:rPr>
        <w:t>㎡，依参赛名额确定比赛工作区，每个赛位面积在10㎡左右且标明编号，赛位之间的通道间隔不小于1.5米，工位间加装隔离挡板和隔离线。另外，设置医务、监考/裁判会议室兼休息室1间和加密隔离室2间，设备、材料、工具、耗材等储藏室1间。</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环境标准要求保证赛场采光(大于500lux)、照明和通风良好；提供稳定的水、电，并提供应急的备用电源。在竞赛不被干扰的前提下赛场全面开放，欢迎各界人员沿指定路线、在指定区域内到现场观赛。具备两个以上安全疏散通道，并设有应急疏散图，配备必要的灭火器材。</w:t>
      </w:r>
    </w:p>
    <w:p>
      <w:pPr>
        <w:snapToGrid w:val="0"/>
        <w:spacing w:line="560" w:lineRule="exact"/>
        <w:ind w:firstLine="560" w:firstLineChars="200"/>
        <w:contextualSpacing/>
        <w:rPr>
          <w:rFonts w:ascii="仿宋" w:hAnsi="仿宋" w:eastAsia="仿宋" w:cs="仿宋_GB2312"/>
          <w:color w:val="000000"/>
          <w:sz w:val="28"/>
          <w:szCs w:val="28"/>
        </w:rPr>
      </w:pPr>
      <w:r>
        <w:rPr>
          <w:rFonts w:hint="eastAsia" w:ascii="仿宋" w:hAnsi="仿宋" w:eastAsia="仿宋" w:cs="仿宋_GB2312"/>
          <w:color w:val="000000"/>
          <w:sz w:val="28"/>
          <w:szCs w:val="28"/>
        </w:rPr>
        <w:t>颁奖场地、参赛队选手及指导教师休息场地另计。</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九、技术规范</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（一）职业素养</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1.敬业爱岗，忠于职守，严于律已，刻苦钻研；</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2.勤于学习，善于思考，勇于探索，敏于创新；</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3.认真负责，吃苦耐劳，团结协作，精益求精；</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4.遵守操作规程，安全、文明生产；</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5.着装规范整洁，爱护设备，保持工作环境清洁有序。</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（二）相关知识与技能</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1.电工与电子技术基础</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2.电子产品装接工艺与流程</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3.计算机应用技能</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4.电子产品的故障检测与维修</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5.硬盘维修与数据恢复技术</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（三）相关职业标准</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1.家用电子产品维修工国家职业标准（职业编码4-07-10-01）</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2.计算机操作员国家职业标准（职业编码3-01-02-05）</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3.计算机（微机）维修工国家职业标准（职业编码6-08-05-01）</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4.计算机硬件技术人员国家职业标准（职业编码2-02-13-01）</w:t>
      </w:r>
    </w:p>
    <w:p>
      <w:pPr>
        <w:spacing w:line="560" w:lineRule="exact"/>
        <w:ind w:firstLine="570"/>
        <w:rPr>
          <w:rFonts w:ascii="仿宋" w:hAnsi="仿宋" w:eastAsia="仿宋" w:cs="仿宋_GB2312"/>
          <w:sz w:val="28"/>
          <w:szCs w:val="28"/>
        </w:rPr>
      </w:pPr>
      <w:r>
        <w:rPr>
          <w:rFonts w:hint="eastAsia" w:ascii="仿宋" w:hAnsi="仿宋" w:eastAsia="仿宋" w:cs="仿宋_GB2312"/>
          <w:sz w:val="28"/>
          <w:szCs w:val="28"/>
        </w:rPr>
        <w:t>5.电子计算机装配调试员国家职业标准（职业编码6-08-04-07）</w:t>
      </w:r>
    </w:p>
    <w:p>
      <w:pPr>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6.电子设备装接工国家职业标准（职业编码6-08-04-02）</w:t>
      </w:r>
    </w:p>
    <w:p>
      <w:pPr>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7.IPC/EIA J-STD-001C Requirements for Soldered Electrical &amp; Electronic Assemblies</w:t>
      </w:r>
    </w:p>
    <w:p>
      <w:pPr>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8.IPC-A-610C Acceptability of Electronic Assemblies</w:t>
      </w:r>
    </w:p>
    <w:p>
      <w:pPr>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 xml:space="preserve">9.SMC-WP-003 Chip Mounting Technology </w:t>
      </w:r>
    </w:p>
    <w:p>
      <w:pPr>
        <w:snapToGrid w:val="0"/>
        <w:spacing w:line="560" w:lineRule="exact"/>
        <w:ind w:firstLine="560" w:firstLineChars="200"/>
        <w:rPr>
          <w:rFonts w:ascii="仿宋" w:hAnsi="仿宋" w:eastAsia="仿宋" w:cs="仿宋_GB2312"/>
          <w:sz w:val="28"/>
          <w:szCs w:val="28"/>
        </w:rPr>
      </w:pPr>
      <w:r>
        <w:rPr>
          <w:rFonts w:hint="eastAsia" w:ascii="仿宋" w:hAnsi="仿宋" w:eastAsia="仿宋" w:cs="仿宋_GB2312"/>
          <w:sz w:val="28"/>
          <w:szCs w:val="28"/>
        </w:rPr>
        <w:t>10.IPC-MC-790 Guidelines for Multichip Module Technology Utilization</w:t>
      </w:r>
    </w:p>
    <w:p>
      <w:pPr>
        <w:snapToGrid w:val="0"/>
        <w:spacing w:line="560" w:lineRule="exact"/>
        <w:ind w:firstLine="560" w:firstLineChars="200"/>
        <w:contextualSpacing/>
        <w:rPr>
          <w:rFonts w:ascii="仿宋" w:hAnsi="仿宋" w:eastAsia="仿宋" w:cs="仿宋_GB2312"/>
          <w:sz w:val="28"/>
          <w:szCs w:val="28"/>
        </w:rPr>
      </w:pPr>
      <w:r>
        <w:rPr>
          <w:rFonts w:hint="eastAsia" w:ascii="仿宋" w:hAnsi="仿宋" w:eastAsia="仿宋" w:cs="仿宋_GB2312"/>
          <w:sz w:val="28"/>
          <w:szCs w:val="28"/>
        </w:rPr>
        <w:t>11.IPC-9502 PWB Assembly Soldering Process Guideline for Electronic Components</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十、技术平台</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（一）比赛器材及具体要求说明</w:t>
      </w:r>
    </w:p>
    <w:tbl>
      <w:tblPr>
        <w:tblStyle w:val="10"/>
        <w:tblW w:w="8799" w:type="dxa"/>
        <w:tblInd w:w="0" w:type="dxa"/>
        <w:tblLayout w:type="fixed"/>
        <w:tblCellMar>
          <w:top w:w="0" w:type="dxa"/>
          <w:left w:w="108" w:type="dxa"/>
          <w:bottom w:w="0" w:type="dxa"/>
          <w:right w:w="108" w:type="dxa"/>
        </w:tblCellMar>
      </w:tblPr>
      <w:tblGrid>
        <w:gridCol w:w="789"/>
        <w:gridCol w:w="2249"/>
        <w:gridCol w:w="4060"/>
        <w:gridCol w:w="1701"/>
      </w:tblGrid>
      <w:tr>
        <w:tblPrEx>
          <w:tblLayout w:type="fixed"/>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序号</w:t>
            </w:r>
          </w:p>
        </w:tc>
        <w:tc>
          <w:tcPr>
            <w:tcW w:w="2249" w:type="dxa"/>
            <w:tcBorders>
              <w:top w:val="single" w:color="auto" w:sz="4" w:space="0"/>
              <w:left w:val="nil"/>
              <w:bottom w:val="single" w:color="auto" w:sz="4" w:space="0"/>
              <w:right w:val="single" w:color="auto" w:sz="4" w:space="0"/>
            </w:tcBorders>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仪器设备</w:t>
            </w:r>
          </w:p>
        </w:tc>
        <w:tc>
          <w:tcPr>
            <w:tcW w:w="4060" w:type="dxa"/>
            <w:tcBorders>
              <w:top w:val="single" w:color="auto" w:sz="4" w:space="0"/>
              <w:left w:val="nil"/>
              <w:bottom w:val="single" w:color="auto" w:sz="4" w:space="0"/>
              <w:right w:val="single" w:color="auto" w:sz="4" w:space="0"/>
            </w:tcBorders>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规格说明</w:t>
            </w:r>
          </w:p>
        </w:tc>
        <w:tc>
          <w:tcPr>
            <w:tcW w:w="1701" w:type="dxa"/>
            <w:tcBorders>
              <w:top w:val="single" w:color="auto" w:sz="4" w:space="0"/>
              <w:left w:val="nil"/>
              <w:bottom w:val="single" w:color="auto" w:sz="4" w:space="0"/>
              <w:right w:val="single" w:color="auto" w:sz="4" w:space="0"/>
            </w:tcBorders>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品牌</w:t>
            </w:r>
          </w:p>
        </w:tc>
      </w:tr>
      <w:tr>
        <w:tblPrEx>
          <w:tblLayout w:type="fixed"/>
          <w:tblCellMar>
            <w:top w:w="0" w:type="dxa"/>
            <w:left w:w="108" w:type="dxa"/>
            <w:bottom w:w="0" w:type="dxa"/>
            <w:right w:w="108" w:type="dxa"/>
          </w:tblCellMar>
        </w:tblPrEx>
        <w:trPr>
          <w:trHeight w:val="20" w:hRule="atLeast"/>
        </w:trPr>
        <w:tc>
          <w:tcPr>
            <w:tcW w:w="789" w:type="dxa"/>
            <w:tcBorders>
              <w:top w:val="nil"/>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1</w:t>
            </w:r>
          </w:p>
        </w:tc>
        <w:tc>
          <w:tcPr>
            <w:tcW w:w="2249"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维修工作台</w:t>
            </w:r>
          </w:p>
        </w:tc>
        <w:tc>
          <w:tcPr>
            <w:tcW w:w="4060"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防静电维修工作台</w:t>
            </w:r>
          </w:p>
        </w:tc>
        <w:tc>
          <w:tcPr>
            <w:tcW w:w="1701"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多品牌适用</w:t>
            </w:r>
          </w:p>
        </w:tc>
      </w:tr>
      <w:tr>
        <w:tblPrEx>
          <w:tblLayout w:type="fixed"/>
          <w:tblCellMar>
            <w:top w:w="0" w:type="dxa"/>
            <w:left w:w="108" w:type="dxa"/>
            <w:bottom w:w="0" w:type="dxa"/>
            <w:right w:w="108" w:type="dxa"/>
          </w:tblCellMar>
        </w:tblPrEx>
        <w:trPr>
          <w:trHeight w:val="20" w:hRule="atLeast"/>
        </w:trPr>
        <w:tc>
          <w:tcPr>
            <w:tcW w:w="789" w:type="dxa"/>
            <w:tcBorders>
              <w:top w:val="nil"/>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2</w:t>
            </w:r>
          </w:p>
        </w:tc>
        <w:tc>
          <w:tcPr>
            <w:tcW w:w="2249"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数字万用表</w:t>
            </w:r>
          </w:p>
        </w:tc>
        <w:tc>
          <w:tcPr>
            <w:tcW w:w="4060"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交流电压</w:t>
            </w:r>
            <w:r>
              <w:rPr>
                <w:rFonts w:ascii="仿宋" w:hAnsi="仿宋" w:eastAsia="仿宋"/>
                <w:color w:val="000000"/>
                <w:sz w:val="24"/>
              </w:rPr>
              <w:t>1000V</w:t>
            </w:r>
            <w:r>
              <w:rPr>
                <w:rFonts w:hint="eastAsia" w:ascii="仿宋" w:hAnsi="仿宋" w:eastAsia="仿宋"/>
                <w:color w:val="000000"/>
                <w:sz w:val="24"/>
              </w:rPr>
              <w:t>±</w:t>
            </w:r>
            <w:r>
              <w:rPr>
                <w:rFonts w:ascii="仿宋" w:hAnsi="仿宋" w:eastAsia="仿宋"/>
                <w:color w:val="000000"/>
                <w:sz w:val="24"/>
              </w:rPr>
              <w:t>(0.8%+3)</w:t>
            </w:r>
            <w:r>
              <w:rPr>
                <w:rFonts w:hint="eastAsia" w:ascii="仿宋" w:hAnsi="仿宋" w:eastAsia="仿宋"/>
                <w:color w:val="000000"/>
                <w:sz w:val="24"/>
              </w:rPr>
              <w:t>，直流电流</w:t>
            </w:r>
            <w:r>
              <w:rPr>
                <w:rFonts w:ascii="仿宋" w:hAnsi="仿宋" w:eastAsia="仿宋"/>
                <w:color w:val="000000"/>
                <w:sz w:val="24"/>
              </w:rPr>
              <w:t>20A</w:t>
            </w:r>
            <w:r>
              <w:rPr>
                <w:rFonts w:hint="eastAsia" w:ascii="仿宋" w:hAnsi="仿宋" w:eastAsia="仿宋"/>
                <w:color w:val="000000"/>
                <w:sz w:val="24"/>
              </w:rPr>
              <w:t>±</w:t>
            </w:r>
            <w:r>
              <w:rPr>
                <w:rFonts w:ascii="仿宋" w:hAnsi="仿宋" w:eastAsia="仿宋"/>
                <w:color w:val="000000"/>
                <w:sz w:val="24"/>
              </w:rPr>
              <w:t>(0.8%+1)</w:t>
            </w:r>
            <w:r>
              <w:rPr>
                <w:rFonts w:hint="eastAsia" w:ascii="仿宋" w:hAnsi="仿宋" w:eastAsia="仿宋"/>
                <w:color w:val="000000"/>
                <w:sz w:val="24"/>
              </w:rPr>
              <w:t>，直流电压</w:t>
            </w:r>
            <w:r>
              <w:rPr>
                <w:rFonts w:ascii="仿宋" w:hAnsi="仿宋" w:eastAsia="仿宋"/>
                <w:color w:val="000000"/>
                <w:sz w:val="24"/>
              </w:rPr>
              <w:t>1000V</w:t>
            </w:r>
            <w:r>
              <w:rPr>
                <w:rFonts w:hint="eastAsia" w:ascii="仿宋" w:hAnsi="仿宋" w:eastAsia="仿宋"/>
                <w:color w:val="000000"/>
                <w:sz w:val="24"/>
              </w:rPr>
              <w:t>±</w:t>
            </w:r>
            <w:r>
              <w:rPr>
                <w:rFonts w:ascii="仿宋" w:hAnsi="仿宋" w:eastAsia="仿宋"/>
                <w:color w:val="000000"/>
                <w:sz w:val="24"/>
              </w:rPr>
              <w:t>(0.5%+1)</w:t>
            </w:r>
            <w:r>
              <w:rPr>
                <w:rFonts w:hint="eastAsia" w:ascii="仿宋" w:hAnsi="仿宋" w:eastAsia="仿宋"/>
                <w:color w:val="000000"/>
                <w:sz w:val="24"/>
              </w:rPr>
              <w:t>，交流电流</w:t>
            </w:r>
            <w:r>
              <w:rPr>
                <w:rFonts w:ascii="仿宋" w:hAnsi="仿宋" w:eastAsia="仿宋"/>
                <w:color w:val="000000"/>
                <w:sz w:val="24"/>
              </w:rPr>
              <w:t>20A</w:t>
            </w:r>
            <w:r>
              <w:rPr>
                <w:rFonts w:hint="eastAsia" w:ascii="仿宋" w:hAnsi="仿宋" w:eastAsia="仿宋"/>
                <w:color w:val="000000"/>
                <w:sz w:val="24"/>
              </w:rPr>
              <w:t>±</w:t>
            </w:r>
            <w:r>
              <w:rPr>
                <w:rFonts w:ascii="仿宋" w:hAnsi="仿宋" w:eastAsia="仿宋"/>
                <w:color w:val="000000"/>
                <w:sz w:val="24"/>
              </w:rPr>
              <w:t>(1%+3)</w:t>
            </w:r>
            <w:r>
              <w:rPr>
                <w:rFonts w:hint="eastAsia" w:ascii="仿宋" w:hAnsi="仿宋" w:eastAsia="仿宋"/>
                <w:color w:val="000000"/>
                <w:sz w:val="24"/>
              </w:rPr>
              <w:t>，电阻</w:t>
            </w:r>
            <w:r>
              <w:rPr>
                <w:rFonts w:ascii="仿宋" w:hAnsi="仿宋" w:eastAsia="仿宋"/>
                <w:color w:val="000000"/>
                <w:sz w:val="24"/>
              </w:rPr>
              <w:t>200MW</w:t>
            </w:r>
            <w:r>
              <w:rPr>
                <w:rFonts w:hint="eastAsia" w:ascii="仿宋" w:hAnsi="仿宋" w:eastAsia="仿宋"/>
                <w:color w:val="000000"/>
                <w:sz w:val="24"/>
              </w:rPr>
              <w:t>±</w:t>
            </w:r>
            <w:r>
              <w:rPr>
                <w:rFonts w:ascii="仿宋" w:hAnsi="仿宋" w:eastAsia="仿宋"/>
                <w:color w:val="000000"/>
                <w:sz w:val="24"/>
              </w:rPr>
              <w:t>(0.8%+1)</w:t>
            </w:r>
            <w:r>
              <w:rPr>
                <w:rFonts w:hint="eastAsia" w:ascii="仿宋" w:hAnsi="仿宋" w:eastAsia="仿宋"/>
                <w:color w:val="000000"/>
                <w:sz w:val="24"/>
              </w:rPr>
              <w:t>，电容</w:t>
            </w:r>
            <w:r>
              <w:rPr>
                <w:rFonts w:ascii="仿宋" w:hAnsi="仿宋" w:eastAsia="仿宋"/>
                <w:color w:val="000000"/>
                <w:sz w:val="24"/>
              </w:rPr>
              <w:t>100mF</w:t>
            </w:r>
            <w:r>
              <w:rPr>
                <w:rFonts w:hint="eastAsia" w:ascii="仿宋" w:hAnsi="仿宋" w:eastAsia="仿宋"/>
                <w:color w:val="000000"/>
                <w:sz w:val="24"/>
              </w:rPr>
              <w:t>±</w:t>
            </w:r>
            <w:r>
              <w:rPr>
                <w:rFonts w:ascii="仿宋" w:hAnsi="仿宋" w:eastAsia="仿宋"/>
                <w:color w:val="000000"/>
                <w:sz w:val="24"/>
              </w:rPr>
              <w:t>(4%+3)</w:t>
            </w:r>
          </w:p>
        </w:tc>
        <w:tc>
          <w:tcPr>
            <w:tcW w:w="1701"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多品牌适用</w:t>
            </w:r>
          </w:p>
        </w:tc>
      </w:tr>
      <w:tr>
        <w:tblPrEx>
          <w:tblLayout w:type="fixed"/>
          <w:tblCellMar>
            <w:top w:w="0" w:type="dxa"/>
            <w:left w:w="108" w:type="dxa"/>
            <w:bottom w:w="0" w:type="dxa"/>
            <w:right w:w="108" w:type="dxa"/>
          </w:tblCellMar>
        </w:tblPrEx>
        <w:trPr>
          <w:trHeight w:val="20" w:hRule="atLeast"/>
        </w:trPr>
        <w:tc>
          <w:tcPr>
            <w:tcW w:w="789" w:type="dxa"/>
            <w:tcBorders>
              <w:top w:val="nil"/>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3</w:t>
            </w:r>
          </w:p>
        </w:tc>
        <w:tc>
          <w:tcPr>
            <w:tcW w:w="2249"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数字示波器</w:t>
            </w:r>
          </w:p>
        </w:tc>
        <w:tc>
          <w:tcPr>
            <w:tcW w:w="4060"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100MHz</w:t>
            </w:r>
            <w:r>
              <w:rPr>
                <w:rFonts w:hint="eastAsia" w:ascii="仿宋" w:hAnsi="仿宋" w:eastAsia="仿宋"/>
                <w:color w:val="000000"/>
                <w:sz w:val="24"/>
              </w:rPr>
              <w:t>以上双通道示波器</w:t>
            </w:r>
          </w:p>
        </w:tc>
        <w:tc>
          <w:tcPr>
            <w:tcW w:w="1701" w:type="dxa"/>
            <w:tcBorders>
              <w:top w:val="nil"/>
              <w:left w:val="nil"/>
              <w:bottom w:val="single" w:color="auto" w:sz="4" w:space="0"/>
              <w:right w:val="single" w:color="auto" w:sz="4" w:space="0"/>
            </w:tcBorders>
          </w:tcPr>
          <w:p>
            <w:r>
              <w:rPr>
                <w:rFonts w:hint="eastAsia" w:ascii="仿宋" w:hAnsi="仿宋" w:eastAsia="仿宋"/>
                <w:color w:val="000000"/>
                <w:sz w:val="24"/>
              </w:rPr>
              <w:t>多品牌适用</w:t>
            </w:r>
          </w:p>
        </w:tc>
      </w:tr>
      <w:tr>
        <w:tblPrEx>
          <w:tblLayout w:type="fixed"/>
          <w:tblCellMar>
            <w:top w:w="0" w:type="dxa"/>
            <w:left w:w="108" w:type="dxa"/>
            <w:bottom w:w="0" w:type="dxa"/>
            <w:right w:w="108" w:type="dxa"/>
          </w:tblCellMar>
        </w:tblPrEx>
        <w:trPr>
          <w:trHeight w:val="20" w:hRule="atLeast"/>
        </w:trPr>
        <w:tc>
          <w:tcPr>
            <w:tcW w:w="789" w:type="dxa"/>
            <w:tcBorders>
              <w:top w:val="nil"/>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4</w:t>
            </w:r>
          </w:p>
        </w:tc>
        <w:tc>
          <w:tcPr>
            <w:tcW w:w="2249"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恒温烙铁</w:t>
            </w:r>
          </w:p>
        </w:tc>
        <w:tc>
          <w:tcPr>
            <w:tcW w:w="4060" w:type="dxa"/>
            <w:tcBorders>
              <w:top w:val="nil"/>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温度调节范围</w:t>
            </w:r>
            <w:r>
              <w:rPr>
                <w:rFonts w:ascii="仿宋" w:hAnsi="仿宋" w:eastAsia="仿宋"/>
                <w:color w:val="000000"/>
                <w:sz w:val="24"/>
              </w:rPr>
              <w:t xml:space="preserve"> 150-450</w:t>
            </w:r>
            <w:r>
              <w:rPr>
                <w:rFonts w:hint="eastAsia" w:ascii="仿宋" w:hAnsi="仿宋" w:eastAsia="仿宋"/>
                <w:color w:val="000000"/>
                <w:sz w:val="24"/>
              </w:rPr>
              <w:t>（℃）</w:t>
            </w:r>
          </w:p>
        </w:tc>
        <w:tc>
          <w:tcPr>
            <w:tcW w:w="1701" w:type="dxa"/>
            <w:tcBorders>
              <w:top w:val="nil"/>
              <w:left w:val="nil"/>
              <w:bottom w:val="single" w:color="auto" w:sz="4" w:space="0"/>
              <w:right w:val="single" w:color="auto" w:sz="4" w:space="0"/>
            </w:tcBorders>
          </w:tcPr>
          <w:p>
            <w:r>
              <w:rPr>
                <w:rFonts w:hint="eastAsia" w:ascii="仿宋" w:hAnsi="仿宋" w:eastAsia="仿宋"/>
                <w:color w:val="000000"/>
                <w:sz w:val="24"/>
              </w:rPr>
              <w:t>多品牌适用</w:t>
            </w:r>
          </w:p>
        </w:tc>
      </w:tr>
      <w:tr>
        <w:tblPrEx>
          <w:tblLayout w:type="fixed"/>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5</w:t>
            </w:r>
          </w:p>
        </w:tc>
        <w:tc>
          <w:tcPr>
            <w:tcW w:w="2249"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热风焊台</w:t>
            </w:r>
          </w:p>
        </w:tc>
        <w:tc>
          <w:tcPr>
            <w:tcW w:w="4060"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温度调节范围：</w:t>
            </w:r>
            <w:r>
              <w:rPr>
                <w:rFonts w:ascii="仿宋" w:hAnsi="仿宋" w:eastAsia="仿宋"/>
                <w:color w:val="000000"/>
                <w:sz w:val="24"/>
              </w:rPr>
              <w:t>100</w:t>
            </w:r>
            <w:r>
              <w:rPr>
                <w:rFonts w:hint="eastAsia" w:ascii="仿宋" w:hAnsi="仿宋" w:eastAsia="仿宋"/>
                <w:color w:val="000000"/>
                <w:sz w:val="24"/>
              </w:rPr>
              <w:t>～</w:t>
            </w:r>
            <w:r>
              <w:rPr>
                <w:rFonts w:ascii="仿宋" w:hAnsi="仿宋" w:eastAsia="仿宋"/>
                <w:color w:val="000000"/>
                <w:sz w:val="24"/>
              </w:rPr>
              <w:t>480</w:t>
            </w:r>
            <w:r>
              <w:rPr>
                <w:rFonts w:hint="eastAsia" w:ascii="仿宋" w:hAnsi="仿宋" w:eastAsia="仿宋"/>
                <w:color w:val="000000"/>
                <w:sz w:val="24"/>
              </w:rPr>
              <w:t>℃</w:t>
            </w:r>
          </w:p>
        </w:tc>
        <w:tc>
          <w:tcPr>
            <w:tcW w:w="1701" w:type="dxa"/>
            <w:tcBorders>
              <w:top w:val="single" w:color="auto" w:sz="4" w:space="0"/>
              <w:left w:val="nil"/>
              <w:bottom w:val="single" w:color="auto" w:sz="4" w:space="0"/>
              <w:right w:val="single" w:color="auto" w:sz="4" w:space="0"/>
            </w:tcBorders>
          </w:tcPr>
          <w:p>
            <w:r>
              <w:rPr>
                <w:rFonts w:hint="eastAsia" w:ascii="仿宋" w:hAnsi="仿宋" w:eastAsia="仿宋"/>
                <w:color w:val="000000"/>
                <w:sz w:val="24"/>
              </w:rPr>
              <w:t>多品牌适用</w:t>
            </w:r>
          </w:p>
        </w:tc>
      </w:tr>
      <w:tr>
        <w:tblPrEx>
          <w:tblLayout w:type="fixed"/>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6</w:t>
            </w:r>
          </w:p>
        </w:tc>
        <w:tc>
          <w:tcPr>
            <w:tcW w:w="224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直流稳压电源</w:t>
            </w:r>
          </w:p>
        </w:tc>
        <w:tc>
          <w:tcPr>
            <w:tcW w:w="4060"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I</w:t>
            </w:r>
            <w:r>
              <w:rPr>
                <w:rFonts w:hint="eastAsia" w:ascii="仿宋" w:hAnsi="仿宋" w:eastAsia="仿宋"/>
                <w:color w:val="000000"/>
                <w:sz w:val="24"/>
              </w:rPr>
              <w:t>路以上</w:t>
            </w:r>
            <w:r>
              <w:rPr>
                <w:rFonts w:ascii="仿宋" w:hAnsi="仿宋" w:eastAsia="仿宋"/>
                <w:color w:val="000000"/>
                <w:sz w:val="24"/>
              </w:rPr>
              <w:t>0-30 V</w:t>
            </w:r>
            <w:r>
              <w:rPr>
                <w:rFonts w:hint="eastAsia" w:ascii="仿宋" w:hAnsi="仿宋" w:eastAsia="仿宋"/>
                <w:color w:val="000000"/>
                <w:sz w:val="24"/>
              </w:rPr>
              <w:t>可变电压输出</w:t>
            </w:r>
          </w:p>
        </w:tc>
        <w:tc>
          <w:tcPr>
            <w:tcW w:w="1701" w:type="dxa"/>
            <w:tcBorders>
              <w:top w:val="single" w:color="auto" w:sz="4" w:space="0"/>
              <w:left w:val="single" w:color="auto" w:sz="4" w:space="0"/>
              <w:bottom w:val="single" w:color="auto" w:sz="4" w:space="0"/>
              <w:right w:val="single" w:color="auto" w:sz="4" w:space="0"/>
            </w:tcBorders>
          </w:tcPr>
          <w:p>
            <w:r>
              <w:rPr>
                <w:rFonts w:hint="eastAsia" w:ascii="仿宋" w:hAnsi="仿宋" w:eastAsia="仿宋"/>
                <w:color w:val="000000"/>
                <w:sz w:val="24"/>
              </w:rPr>
              <w:t>多品牌适用</w:t>
            </w:r>
          </w:p>
        </w:tc>
      </w:tr>
      <w:tr>
        <w:tblPrEx>
          <w:tblLayout w:type="fixed"/>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7</w:t>
            </w:r>
          </w:p>
        </w:tc>
        <w:tc>
          <w:tcPr>
            <w:tcW w:w="2249"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放大镜台灯</w:t>
            </w:r>
          </w:p>
        </w:tc>
        <w:tc>
          <w:tcPr>
            <w:tcW w:w="4060"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高强照明、五倍放大功能</w:t>
            </w:r>
          </w:p>
        </w:tc>
        <w:tc>
          <w:tcPr>
            <w:tcW w:w="1701"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多品牌适用</w:t>
            </w:r>
          </w:p>
        </w:tc>
      </w:tr>
      <w:tr>
        <w:tblPrEx>
          <w:tblLayout w:type="fixed"/>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8</w:t>
            </w:r>
          </w:p>
        </w:tc>
        <w:tc>
          <w:tcPr>
            <w:tcW w:w="2249"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工具箱（含工具）</w:t>
            </w:r>
          </w:p>
        </w:tc>
        <w:tc>
          <w:tcPr>
            <w:tcW w:w="4060"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内含螺丝刀套件、芯片盒、细毛刷、含银硅脂、洗板水壶、吸锡枪、助焊膏、尖嘴钳、偏口钳、焊锡丝、吸锡带、飞线、刀片、粗毛刷、防静电镊子</w:t>
            </w:r>
          </w:p>
        </w:tc>
        <w:tc>
          <w:tcPr>
            <w:tcW w:w="1701"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多品牌适用</w:t>
            </w:r>
          </w:p>
        </w:tc>
      </w:tr>
      <w:tr>
        <w:tblPrEx>
          <w:tblLayout w:type="fixed"/>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9</w:t>
            </w:r>
          </w:p>
        </w:tc>
        <w:tc>
          <w:tcPr>
            <w:tcW w:w="2249"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电脑主机</w:t>
            </w:r>
          </w:p>
        </w:tc>
        <w:tc>
          <w:tcPr>
            <w:tcW w:w="4060"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主频</w:t>
            </w:r>
            <w:r>
              <w:rPr>
                <w:rFonts w:ascii="仿宋" w:hAnsi="仿宋" w:eastAsia="仿宋"/>
                <w:color w:val="000000"/>
                <w:sz w:val="24"/>
              </w:rPr>
              <w:t>1GHz</w:t>
            </w:r>
            <w:r>
              <w:rPr>
                <w:rFonts w:hint="eastAsia" w:ascii="仿宋" w:hAnsi="仿宋" w:eastAsia="仿宋"/>
                <w:color w:val="000000"/>
                <w:sz w:val="24"/>
              </w:rPr>
              <w:t>或以上</w:t>
            </w:r>
            <w:r>
              <w:rPr>
                <w:rFonts w:ascii="仿宋" w:hAnsi="仿宋" w:eastAsia="仿宋"/>
                <w:color w:val="000000"/>
                <w:sz w:val="24"/>
              </w:rPr>
              <w:t>CPU</w:t>
            </w:r>
            <w:r>
              <w:rPr>
                <w:rFonts w:hint="eastAsia" w:ascii="仿宋" w:hAnsi="仿宋" w:eastAsia="仿宋"/>
                <w:color w:val="000000"/>
                <w:sz w:val="24"/>
              </w:rPr>
              <w:t>，</w:t>
            </w:r>
            <w:r>
              <w:rPr>
                <w:rFonts w:ascii="仿宋" w:hAnsi="仿宋" w:eastAsia="仿宋"/>
                <w:color w:val="000000"/>
                <w:sz w:val="24"/>
              </w:rPr>
              <w:t>1GB</w:t>
            </w:r>
            <w:r>
              <w:rPr>
                <w:rFonts w:hint="eastAsia" w:ascii="仿宋" w:hAnsi="仿宋" w:eastAsia="仿宋"/>
                <w:color w:val="000000"/>
                <w:sz w:val="24"/>
              </w:rPr>
              <w:t>或以上内存，安装</w:t>
            </w:r>
            <w:r>
              <w:rPr>
                <w:rFonts w:ascii="仿宋" w:hAnsi="仿宋" w:eastAsia="仿宋"/>
                <w:color w:val="000000"/>
                <w:sz w:val="24"/>
              </w:rPr>
              <w:t>Windows</w:t>
            </w:r>
            <w:r>
              <w:rPr>
                <w:rFonts w:hint="eastAsia" w:ascii="仿宋" w:hAnsi="仿宋" w:eastAsia="仿宋"/>
                <w:color w:val="000000"/>
                <w:sz w:val="24"/>
              </w:rPr>
              <w:t>操作系统。</w:t>
            </w:r>
          </w:p>
        </w:tc>
        <w:tc>
          <w:tcPr>
            <w:tcW w:w="1701"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多品牌适用</w:t>
            </w:r>
          </w:p>
        </w:tc>
      </w:tr>
      <w:tr>
        <w:tblPrEx>
          <w:tblLayout w:type="fixed"/>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10</w:t>
            </w:r>
          </w:p>
        </w:tc>
        <w:tc>
          <w:tcPr>
            <w:tcW w:w="2249"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电脑配件</w:t>
            </w:r>
          </w:p>
        </w:tc>
        <w:tc>
          <w:tcPr>
            <w:tcW w:w="4060"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CPU</w:t>
            </w:r>
            <w:r>
              <w:rPr>
                <w:rFonts w:hint="eastAsia" w:ascii="仿宋" w:hAnsi="仿宋" w:eastAsia="仿宋"/>
                <w:color w:val="000000"/>
                <w:sz w:val="24"/>
              </w:rPr>
              <w:t>、内存、</w:t>
            </w:r>
            <w:r>
              <w:rPr>
                <w:rFonts w:ascii="仿宋" w:hAnsi="仿宋" w:eastAsia="仿宋"/>
                <w:color w:val="000000"/>
                <w:sz w:val="24"/>
              </w:rPr>
              <w:t>ATX</w:t>
            </w:r>
            <w:r>
              <w:rPr>
                <w:rFonts w:hint="eastAsia" w:ascii="仿宋" w:hAnsi="仿宋" w:eastAsia="仿宋"/>
                <w:color w:val="000000"/>
                <w:sz w:val="24"/>
              </w:rPr>
              <w:t>电源等</w:t>
            </w:r>
          </w:p>
        </w:tc>
        <w:tc>
          <w:tcPr>
            <w:tcW w:w="1701"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olor w:val="000000"/>
                <w:sz w:val="24"/>
              </w:rPr>
              <w:t>多品牌适用</w:t>
            </w:r>
          </w:p>
        </w:tc>
      </w:tr>
      <w:tr>
        <w:tblPrEx>
          <w:tblLayout w:type="fixed"/>
          <w:tblCellMar>
            <w:top w:w="0" w:type="dxa"/>
            <w:left w:w="108" w:type="dxa"/>
            <w:bottom w:w="0" w:type="dxa"/>
            <w:right w:w="108" w:type="dxa"/>
          </w:tblCellMar>
        </w:tblPrEx>
        <w:trPr>
          <w:trHeight w:val="20" w:hRule="atLeast"/>
        </w:trPr>
        <w:tc>
          <w:tcPr>
            <w:tcW w:w="789"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olor w:val="000000"/>
                <w:sz w:val="24"/>
              </w:rPr>
            </w:pPr>
            <w:r>
              <w:rPr>
                <w:rFonts w:ascii="仿宋" w:hAnsi="仿宋" w:eastAsia="仿宋"/>
                <w:color w:val="000000"/>
                <w:sz w:val="24"/>
              </w:rPr>
              <w:t>11</w:t>
            </w:r>
          </w:p>
        </w:tc>
        <w:tc>
          <w:tcPr>
            <w:tcW w:w="2249" w:type="dxa"/>
            <w:tcBorders>
              <w:top w:val="single" w:color="auto" w:sz="4" w:space="0"/>
              <w:left w:val="nil"/>
              <w:bottom w:val="single" w:color="auto" w:sz="4" w:space="0"/>
              <w:right w:val="single" w:color="auto" w:sz="4" w:space="0"/>
            </w:tcBorders>
            <w:vAlign w:val="center"/>
          </w:tcPr>
          <w:p>
            <w:pPr>
              <w:snapToGrid w:val="0"/>
              <w:jc w:val="center"/>
              <w:rPr>
                <w:rFonts w:ascii="仿宋" w:hAnsi="仿宋" w:eastAsia="仿宋" w:cs="Arial"/>
                <w:color w:val="000000"/>
                <w:sz w:val="24"/>
              </w:rPr>
            </w:pPr>
            <w:r>
              <w:rPr>
                <w:rFonts w:hint="eastAsia" w:ascii="仿宋" w:hAnsi="仿宋" w:eastAsia="仿宋" w:cs="Arial"/>
                <w:bCs/>
                <w:color w:val="000000"/>
                <w:sz w:val="24"/>
              </w:rPr>
              <w:t>数据恢复平台</w:t>
            </w:r>
          </w:p>
        </w:tc>
        <w:tc>
          <w:tcPr>
            <w:tcW w:w="4060" w:type="dxa"/>
            <w:tcBorders>
              <w:top w:val="single" w:color="auto" w:sz="4" w:space="0"/>
              <w:left w:val="nil"/>
              <w:bottom w:val="single" w:color="auto" w:sz="4" w:space="0"/>
              <w:right w:val="single" w:color="auto" w:sz="4" w:space="0"/>
            </w:tcBorders>
            <w:vAlign w:val="center"/>
          </w:tcPr>
          <w:p>
            <w:pPr>
              <w:snapToGrid w:val="0"/>
              <w:jc w:val="center"/>
              <w:rPr>
                <w:rFonts w:ascii="仿宋" w:hAnsi="仿宋" w:eastAsia="仿宋" w:cs="Arial"/>
                <w:color w:val="000000"/>
                <w:sz w:val="24"/>
              </w:rPr>
            </w:pPr>
            <w:r>
              <w:rPr>
                <w:rFonts w:hint="eastAsia" w:ascii="仿宋" w:hAnsi="仿宋" w:eastAsia="仿宋" w:cs="Arial"/>
                <w:color w:val="000000"/>
                <w:sz w:val="24"/>
              </w:rPr>
              <w:t>能够进行硬盘维修及数据恢复操作</w:t>
            </w:r>
          </w:p>
        </w:tc>
        <w:tc>
          <w:tcPr>
            <w:tcW w:w="1701" w:type="dxa"/>
            <w:tcBorders>
              <w:top w:val="single" w:color="auto" w:sz="4" w:space="0"/>
              <w:left w:val="nil"/>
              <w:bottom w:val="single" w:color="auto" w:sz="4" w:space="0"/>
              <w:right w:val="single" w:color="auto" w:sz="4" w:space="0"/>
            </w:tcBorders>
            <w:vAlign w:val="center"/>
          </w:tcPr>
          <w:p>
            <w:pPr>
              <w:jc w:val="center"/>
              <w:rPr>
                <w:rFonts w:ascii="仿宋" w:hAnsi="仿宋" w:eastAsia="仿宋"/>
                <w:color w:val="000000"/>
                <w:sz w:val="24"/>
              </w:rPr>
            </w:pPr>
            <w:r>
              <w:rPr>
                <w:rFonts w:hint="eastAsia" w:ascii="仿宋" w:hAnsi="仿宋" w:eastAsia="仿宋" w:cs="Arial"/>
                <w:bCs/>
                <w:color w:val="000000"/>
                <w:sz w:val="24"/>
              </w:rPr>
              <w:t>中盈创信</w:t>
            </w:r>
            <w:r>
              <w:rPr>
                <w:rFonts w:ascii="仿宋" w:hAnsi="仿宋" w:eastAsia="仿宋" w:cs="Arial"/>
                <w:color w:val="000000"/>
                <w:sz w:val="24"/>
              </w:rPr>
              <w:t>SOL-DRFIX-802</w:t>
            </w:r>
          </w:p>
        </w:tc>
      </w:tr>
    </w:tbl>
    <w:p>
      <w:pPr>
        <w:spacing w:line="560" w:lineRule="exact"/>
        <w:ind w:firstLine="420" w:firstLineChars="150"/>
        <w:rPr>
          <w:rFonts w:ascii="仿宋" w:hAnsi="仿宋" w:eastAsia="仿宋"/>
          <w:color w:val="000000"/>
          <w:sz w:val="28"/>
          <w:szCs w:val="28"/>
        </w:rPr>
      </w:pPr>
      <w:r>
        <w:rPr>
          <w:rFonts w:hint="eastAsia" w:ascii="仿宋" w:hAnsi="仿宋" w:eastAsia="仿宋"/>
          <w:color w:val="000000"/>
          <w:sz w:val="28"/>
          <w:szCs w:val="28"/>
        </w:rPr>
        <w:t>（二）技术平台标准</w:t>
      </w:r>
    </w:p>
    <w:tbl>
      <w:tblPr>
        <w:tblStyle w:val="10"/>
        <w:tblW w:w="88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3463"/>
        <w:gridCol w:w="4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7" w:hRule="atLeast"/>
        </w:trPr>
        <w:tc>
          <w:tcPr>
            <w:tcW w:w="1193"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序号</w:t>
            </w:r>
          </w:p>
        </w:tc>
        <w:tc>
          <w:tcPr>
            <w:tcW w:w="3463"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产品名称</w:t>
            </w:r>
          </w:p>
        </w:tc>
        <w:tc>
          <w:tcPr>
            <w:tcW w:w="4177"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规格说明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7" w:hRule="atLeast"/>
        </w:trPr>
        <w:tc>
          <w:tcPr>
            <w:tcW w:w="1193" w:type="dxa"/>
            <w:vAlign w:val="center"/>
          </w:tcPr>
          <w:p>
            <w:pPr>
              <w:jc w:val="center"/>
              <w:rPr>
                <w:rFonts w:ascii="仿宋" w:hAnsi="仿宋" w:eastAsia="仿宋"/>
                <w:color w:val="000000"/>
                <w:sz w:val="24"/>
              </w:rPr>
            </w:pPr>
            <w:r>
              <w:rPr>
                <w:rFonts w:ascii="仿宋" w:hAnsi="仿宋" w:eastAsia="仿宋"/>
                <w:color w:val="000000"/>
                <w:sz w:val="24"/>
              </w:rPr>
              <w:t>1</w:t>
            </w:r>
          </w:p>
        </w:tc>
        <w:tc>
          <w:tcPr>
            <w:tcW w:w="3463" w:type="dxa"/>
            <w:vAlign w:val="center"/>
          </w:tcPr>
          <w:p>
            <w:pPr>
              <w:jc w:val="center"/>
              <w:rPr>
                <w:rFonts w:ascii="仿宋" w:hAnsi="仿宋" w:eastAsia="仿宋"/>
                <w:color w:val="000000"/>
                <w:sz w:val="24"/>
              </w:rPr>
            </w:pPr>
            <w:r>
              <w:rPr>
                <w:rFonts w:hint="eastAsia" w:ascii="仿宋" w:hAnsi="仿宋" w:eastAsia="仿宋"/>
                <w:color w:val="000000"/>
                <w:sz w:val="24"/>
              </w:rPr>
              <w:t>智能检测平台中心管理系统</w:t>
            </w:r>
          </w:p>
        </w:tc>
        <w:tc>
          <w:tcPr>
            <w:tcW w:w="4177" w:type="dxa"/>
            <w:vAlign w:val="center"/>
          </w:tcPr>
          <w:p>
            <w:pPr>
              <w:jc w:val="center"/>
              <w:rPr>
                <w:rFonts w:ascii="仿宋" w:hAnsi="仿宋" w:eastAsia="仿宋"/>
                <w:color w:val="000000"/>
                <w:sz w:val="24"/>
              </w:rPr>
            </w:pPr>
            <w:r>
              <w:rPr>
                <w:rFonts w:hint="eastAsia" w:ascii="仿宋" w:hAnsi="仿宋" w:eastAsia="仿宋"/>
                <w:color w:val="000000"/>
                <w:sz w:val="24"/>
              </w:rPr>
              <w:t>中盈创信</w:t>
            </w:r>
            <w:r>
              <w:rPr>
                <w:rFonts w:ascii="仿宋" w:hAnsi="仿宋" w:eastAsia="仿宋"/>
                <w:color w:val="000000"/>
                <w:sz w:val="24"/>
              </w:rPr>
              <w:t>SOL-MANAGER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trPr>
        <w:tc>
          <w:tcPr>
            <w:tcW w:w="1193" w:type="dxa"/>
            <w:vAlign w:val="center"/>
          </w:tcPr>
          <w:p>
            <w:pPr>
              <w:jc w:val="center"/>
              <w:rPr>
                <w:rFonts w:ascii="仿宋" w:hAnsi="仿宋" w:eastAsia="仿宋"/>
                <w:color w:val="000000"/>
                <w:sz w:val="24"/>
              </w:rPr>
            </w:pPr>
            <w:r>
              <w:rPr>
                <w:rFonts w:ascii="仿宋" w:hAnsi="仿宋" w:eastAsia="仿宋"/>
                <w:color w:val="000000"/>
                <w:sz w:val="24"/>
              </w:rPr>
              <w:t>2</w:t>
            </w:r>
          </w:p>
        </w:tc>
        <w:tc>
          <w:tcPr>
            <w:tcW w:w="3463" w:type="dxa"/>
            <w:vAlign w:val="center"/>
          </w:tcPr>
          <w:p>
            <w:pPr>
              <w:jc w:val="center"/>
              <w:rPr>
                <w:rFonts w:ascii="仿宋" w:hAnsi="仿宋" w:eastAsia="仿宋"/>
                <w:color w:val="000000"/>
                <w:sz w:val="24"/>
              </w:rPr>
            </w:pPr>
            <w:r>
              <w:rPr>
                <w:rFonts w:hint="eastAsia" w:ascii="仿宋" w:hAnsi="仿宋" w:eastAsia="仿宋"/>
                <w:color w:val="000000"/>
                <w:sz w:val="24"/>
              </w:rPr>
              <w:t>智能检测软件</w:t>
            </w:r>
          </w:p>
        </w:tc>
        <w:tc>
          <w:tcPr>
            <w:tcW w:w="4177" w:type="dxa"/>
            <w:vAlign w:val="center"/>
          </w:tcPr>
          <w:p>
            <w:pPr>
              <w:jc w:val="center"/>
              <w:rPr>
                <w:rFonts w:ascii="仿宋" w:hAnsi="仿宋" w:eastAsia="仿宋"/>
                <w:color w:val="000000"/>
                <w:sz w:val="24"/>
              </w:rPr>
            </w:pPr>
            <w:r>
              <w:rPr>
                <w:rFonts w:hint="eastAsia" w:ascii="仿宋" w:hAnsi="仿宋" w:eastAsia="仿宋"/>
                <w:color w:val="000000"/>
                <w:sz w:val="24"/>
              </w:rPr>
              <w:t>中盈创信</w:t>
            </w:r>
            <w:r>
              <w:rPr>
                <w:rFonts w:ascii="仿宋" w:hAnsi="仿宋" w:eastAsia="仿宋"/>
                <w:color w:val="000000"/>
                <w:sz w:val="24"/>
              </w:rPr>
              <w:t>SOL-SOFT-X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trPr>
        <w:tc>
          <w:tcPr>
            <w:tcW w:w="1193" w:type="dxa"/>
            <w:vAlign w:val="center"/>
          </w:tcPr>
          <w:p>
            <w:pPr>
              <w:jc w:val="center"/>
              <w:rPr>
                <w:rFonts w:ascii="仿宋" w:hAnsi="仿宋" w:eastAsia="仿宋"/>
                <w:color w:val="000000"/>
                <w:sz w:val="24"/>
              </w:rPr>
            </w:pPr>
            <w:r>
              <w:rPr>
                <w:rFonts w:ascii="仿宋" w:hAnsi="仿宋" w:eastAsia="仿宋"/>
                <w:color w:val="000000"/>
                <w:sz w:val="24"/>
              </w:rPr>
              <w:t>3</w:t>
            </w:r>
          </w:p>
        </w:tc>
        <w:tc>
          <w:tcPr>
            <w:tcW w:w="3463" w:type="dxa"/>
            <w:vAlign w:val="center"/>
          </w:tcPr>
          <w:p>
            <w:pPr>
              <w:jc w:val="center"/>
              <w:rPr>
                <w:rFonts w:ascii="仿宋" w:hAnsi="仿宋" w:eastAsia="仿宋"/>
                <w:color w:val="000000"/>
                <w:sz w:val="24"/>
              </w:rPr>
            </w:pPr>
            <w:r>
              <w:rPr>
                <w:rFonts w:hint="eastAsia" w:ascii="仿宋" w:hAnsi="仿宋" w:eastAsia="仿宋"/>
                <w:color w:val="000000"/>
                <w:sz w:val="24"/>
              </w:rPr>
              <w:t>智能检测平台</w:t>
            </w:r>
          </w:p>
        </w:tc>
        <w:tc>
          <w:tcPr>
            <w:tcW w:w="4177" w:type="dxa"/>
            <w:vAlign w:val="center"/>
          </w:tcPr>
          <w:p>
            <w:pPr>
              <w:jc w:val="center"/>
              <w:rPr>
                <w:rFonts w:ascii="仿宋" w:hAnsi="仿宋" w:eastAsia="仿宋"/>
                <w:color w:val="000000"/>
                <w:sz w:val="24"/>
              </w:rPr>
            </w:pPr>
            <w:r>
              <w:rPr>
                <w:rFonts w:hint="eastAsia" w:ascii="仿宋" w:hAnsi="仿宋" w:eastAsia="仿宋"/>
                <w:color w:val="000000"/>
                <w:sz w:val="24"/>
              </w:rPr>
              <w:t>中盈创信</w:t>
            </w:r>
            <w:r>
              <w:rPr>
                <w:rFonts w:ascii="仿宋" w:hAnsi="仿宋" w:eastAsia="仿宋"/>
                <w:color w:val="000000"/>
                <w:sz w:val="24"/>
              </w:rPr>
              <w:t>SOL-MONITOR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7" w:hRule="atLeast"/>
        </w:trPr>
        <w:tc>
          <w:tcPr>
            <w:tcW w:w="1193" w:type="dxa"/>
            <w:vAlign w:val="center"/>
          </w:tcPr>
          <w:p>
            <w:pPr>
              <w:jc w:val="center"/>
              <w:rPr>
                <w:rFonts w:ascii="仿宋" w:hAnsi="仿宋" w:eastAsia="仿宋"/>
                <w:color w:val="000000"/>
                <w:sz w:val="24"/>
              </w:rPr>
            </w:pPr>
            <w:r>
              <w:rPr>
                <w:rFonts w:ascii="仿宋" w:hAnsi="仿宋" w:eastAsia="仿宋"/>
                <w:color w:val="000000"/>
                <w:sz w:val="24"/>
              </w:rPr>
              <w:t>4</w:t>
            </w:r>
          </w:p>
        </w:tc>
        <w:tc>
          <w:tcPr>
            <w:tcW w:w="3463" w:type="dxa"/>
            <w:vAlign w:val="center"/>
          </w:tcPr>
          <w:p>
            <w:pPr>
              <w:jc w:val="center"/>
              <w:rPr>
                <w:rFonts w:ascii="仿宋" w:hAnsi="仿宋" w:eastAsia="仿宋"/>
                <w:color w:val="000000"/>
                <w:sz w:val="24"/>
              </w:rPr>
            </w:pPr>
            <w:r>
              <w:rPr>
                <w:rFonts w:hint="eastAsia" w:ascii="仿宋" w:hAnsi="仿宋" w:eastAsia="仿宋"/>
                <w:color w:val="000000"/>
                <w:sz w:val="24"/>
              </w:rPr>
              <w:t>电脑内置操作系统软件</w:t>
            </w:r>
          </w:p>
        </w:tc>
        <w:tc>
          <w:tcPr>
            <w:tcW w:w="4177" w:type="dxa"/>
            <w:vAlign w:val="center"/>
          </w:tcPr>
          <w:p>
            <w:pPr>
              <w:jc w:val="center"/>
              <w:rPr>
                <w:rFonts w:ascii="仿宋" w:hAnsi="仿宋" w:eastAsia="仿宋"/>
                <w:color w:val="000000"/>
                <w:sz w:val="24"/>
              </w:rPr>
            </w:pPr>
            <w:r>
              <w:rPr>
                <w:rFonts w:ascii="仿宋" w:hAnsi="仿宋" w:eastAsia="仿宋"/>
                <w:color w:val="000000"/>
                <w:sz w:val="24"/>
              </w:rPr>
              <w:t>Windows 7</w:t>
            </w:r>
            <w:r>
              <w:rPr>
                <w:rFonts w:hint="eastAsia" w:ascii="仿宋" w:hAnsi="仿宋" w:eastAsia="仿宋"/>
                <w:color w:val="000000"/>
                <w:sz w:val="24"/>
              </w:rPr>
              <w:t>家庭板或旗舰板</w:t>
            </w:r>
          </w:p>
        </w:tc>
      </w:tr>
    </w:tbl>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十一、成绩评定</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本赛项评分本着公平、公正、公开的原则。评分标准在注重对参赛选手综合能力考察的同时,也能客观反映参赛选手的技能水平及职业素养。</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（一）评分方法及裁判分工</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本赛项评分包括机评分、客观结果性评分及主观结果性评分三种。共设立3个评分小组，其中客观性评分小组1个，主观性评分小组2个，评分裁判总数为12人（不包含裁判长1人、加密裁判2人及现场裁判5人）。</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1.机评分</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由裁判长与客观评分小组直接从平台服务器中调取。对于竞赛任务1的维修结果，现场采用专用的智能检测平台及软件进行自动评分并记录成绩，选手在竞赛结束后，根据裁判的口令，通过智能检测平台提交结果即可。</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2.客观结果性评分</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客观性评分小组由2名裁判组成，负责任务二的评分。评分方法：将选手对存储介质维修及数据恢复的结果与标准答案进行对照，即可确定选手得分。</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 3.主观结果性评分</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由2个主观性评分小组分别负责，每组2人。对于竞赛任务中参赛队选手填写的维修报告，由2名评分裁判依照给定的参考答案，对填写的内容分别进行打分，取平均分作为参赛队本项得分。</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4.职业素养评分</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由现场裁判逐个对参赛选手评分。</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5.评分结果若出现分值相同情况</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依据任务模块得分进行排名，先比较数据恢复部分得分，再比较板卡维修部分得分，最后比较竞赛工作报告部分得分。</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（二）评分标准</w:t>
      </w:r>
    </w:p>
    <w:tbl>
      <w:tblPr>
        <w:tblStyle w:val="10"/>
        <w:tblW w:w="82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46"/>
        <w:gridCol w:w="851"/>
        <w:gridCol w:w="3436"/>
        <w:gridCol w:w="1116"/>
        <w:gridCol w:w="15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7" w:hRule="atLeast"/>
          <w:jc w:val="center"/>
        </w:trPr>
        <w:tc>
          <w:tcPr>
            <w:tcW w:w="1246"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一级指标</w:t>
            </w:r>
          </w:p>
        </w:tc>
        <w:tc>
          <w:tcPr>
            <w:tcW w:w="851"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比例</w:t>
            </w:r>
          </w:p>
        </w:tc>
        <w:tc>
          <w:tcPr>
            <w:tcW w:w="3436"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二级指标</w:t>
            </w:r>
          </w:p>
        </w:tc>
        <w:tc>
          <w:tcPr>
            <w:tcW w:w="1116"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比例</w:t>
            </w:r>
          </w:p>
        </w:tc>
        <w:tc>
          <w:tcPr>
            <w:tcW w:w="1596" w:type="dxa"/>
            <w:vAlign w:val="center"/>
          </w:tcPr>
          <w:p>
            <w:pPr>
              <w:spacing w:line="560" w:lineRule="exact"/>
              <w:jc w:val="center"/>
              <w:rPr>
                <w:rFonts w:ascii="仿宋" w:hAnsi="仿宋" w:eastAsia="仿宋"/>
                <w:b/>
                <w:color w:val="000000"/>
                <w:sz w:val="24"/>
              </w:rPr>
            </w:pPr>
            <w:r>
              <w:rPr>
                <w:rFonts w:hint="eastAsia" w:ascii="仿宋" w:hAnsi="仿宋" w:eastAsia="仿宋"/>
                <w:b/>
                <w:color w:val="000000"/>
                <w:sz w:val="24"/>
              </w:rPr>
              <w:t>类型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7" w:hRule="atLeast"/>
          <w:jc w:val="center"/>
        </w:trPr>
        <w:tc>
          <w:tcPr>
            <w:tcW w:w="1246" w:type="dxa"/>
            <w:vMerge w:val="restart"/>
            <w:vAlign w:val="center"/>
          </w:tcPr>
          <w:p>
            <w:pPr>
              <w:rPr>
                <w:rFonts w:ascii="仿宋" w:hAnsi="仿宋" w:eastAsia="仿宋"/>
                <w:color w:val="000000"/>
                <w:sz w:val="24"/>
              </w:rPr>
            </w:pPr>
            <w:r>
              <w:rPr>
                <w:rFonts w:hint="eastAsia" w:ascii="仿宋" w:hAnsi="仿宋" w:eastAsia="仿宋"/>
                <w:color w:val="000000"/>
                <w:sz w:val="24"/>
              </w:rPr>
              <w:t>电路板检测与维修</w:t>
            </w:r>
          </w:p>
        </w:tc>
        <w:tc>
          <w:tcPr>
            <w:tcW w:w="851" w:type="dxa"/>
            <w:vMerge w:val="restart"/>
            <w:vAlign w:val="center"/>
          </w:tcPr>
          <w:p>
            <w:pPr>
              <w:jc w:val="center"/>
              <w:rPr>
                <w:rFonts w:ascii="仿宋" w:hAnsi="仿宋" w:eastAsia="仿宋"/>
                <w:color w:val="000000"/>
                <w:sz w:val="24"/>
              </w:rPr>
            </w:pPr>
            <w:r>
              <w:rPr>
                <w:rFonts w:hint="eastAsia" w:ascii="仿宋" w:hAnsi="仿宋" w:eastAsia="仿宋"/>
                <w:color w:val="000000"/>
                <w:sz w:val="24"/>
              </w:rPr>
              <w:t>3</w:t>
            </w:r>
            <w:r>
              <w:rPr>
                <w:rFonts w:ascii="仿宋" w:hAnsi="仿宋" w:eastAsia="仿宋"/>
                <w:color w:val="000000"/>
                <w:sz w:val="24"/>
              </w:rPr>
              <w:t>0%</w:t>
            </w:r>
          </w:p>
        </w:tc>
        <w:tc>
          <w:tcPr>
            <w:tcW w:w="3436" w:type="dxa"/>
            <w:vAlign w:val="center"/>
          </w:tcPr>
          <w:p>
            <w:pPr>
              <w:rPr>
                <w:rFonts w:ascii="仿宋" w:hAnsi="仿宋" w:eastAsia="仿宋"/>
                <w:color w:val="000000"/>
                <w:sz w:val="24"/>
              </w:rPr>
            </w:pPr>
            <w:r>
              <w:rPr>
                <w:rFonts w:hint="eastAsia" w:ascii="仿宋" w:hAnsi="仿宋" w:eastAsia="仿宋"/>
                <w:color w:val="000000"/>
                <w:sz w:val="24"/>
              </w:rPr>
              <w:t>板卡一的检测与维修</w:t>
            </w:r>
          </w:p>
        </w:tc>
        <w:tc>
          <w:tcPr>
            <w:tcW w:w="1116" w:type="dxa"/>
          </w:tcPr>
          <w:p>
            <w:pPr>
              <w:jc w:val="center"/>
              <w:rPr>
                <w:rFonts w:ascii="仿宋" w:hAnsi="仿宋" w:eastAsia="仿宋"/>
              </w:rPr>
            </w:pPr>
            <w:r>
              <w:rPr>
                <w:rFonts w:hint="eastAsia" w:ascii="仿宋" w:hAnsi="仿宋" w:eastAsia="仿宋"/>
                <w:color w:val="000000"/>
                <w:sz w:val="24"/>
              </w:rPr>
              <w:t>7%</w:t>
            </w:r>
          </w:p>
        </w:tc>
        <w:tc>
          <w:tcPr>
            <w:tcW w:w="1596" w:type="dxa"/>
            <w:vMerge w:val="restart"/>
            <w:vAlign w:val="center"/>
          </w:tcPr>
          <w:p>
            <w:pPr>
              <w:jc w:val="center"/>
              <w:rPr>
                <w:rFonts w:ascii="仿宋" w:hAnsi="仿宋" w:eastAsia="仿宋"/>
                <w:color w:val="000000"/>
                <w:sz w:val="24"/>
              </w:rPr>
            </w:pPr>
            <w:r>
              <w:rPr>
                <w:rFonts w:hint="eastAsia" w:ascii="仿宋" w:hAnsi="仿宋" w:eastAsia="仿宋"/>
                <w:color w:val="000000"/>
                <w:sz w:val="24"/>
              </w:rPr>
              <w:t>机评分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olor w:val="000000"/>
                <w:sz w:val="24"/>
              </w:rPr>
              <w:t>板卡二的检测与维修</w:t>
            </w:r>
          </w:p>
        </w:tc>
        <w:tc>
          <w:tcPr>
            <w:tcW w:w="1116" w:type="dxa"/>
          </w:tcPr>
          <w:p>
            <w:pPr>
              <w:jc w:val="center"/>
              <w:rPr>
                <w:rFonts w:ascii="仿宋" w:hAnsi="仿宋" w:eastAsia="仿宋"/>
              </w:rPr>
            </w:pPr>
            <w:r>
              <w:rPr>
                <w:rFonts w:hint="eastAsia" w:ascii="仿宋" w:hAnsi="仿宋" w:eastAsia="仿宋"/>
                <w:color w:val="000000"/>
                <w:sz w:val="24"/>
              </w:rPr>
              <w:t>7%</w:t>
            </w:r>
          </w:p>
        </w:tc>
        <w:tc>
          <w:tcPr>
            <w:tcW w:w="1596" w:type="dxa"/>
            <w:vMerge w:val="continue"/>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olor w:val="000000"/>
                <w:sz w:val="24"/>
              </w:rPr>
              <w:t>板卡三的检测与维修</w:t>
            </w:r>
          </w:p>
        </w:tc>
        <w:tc>
          <w:tcPr>
            <w:tcW w:w="1116" w:type="dxa"/>
          </w:tcPr>
          <w:p>
            <w:pPr>
              <w:jc w:val="center"/>
              <w:rPr>
                <w:rFonts w:ascii="仿宋" w:hAnsi="仿宋" w:eastAsia="仿宋"/>
              </w:rPr>
            </w:pPr>
            <w:r>
              <w:rPr>
                <w:rFonts w:hint="eastAsia" w:ascii="仿宋" w:hAnsi="仿宋" w:eastAsia="仿宋"/>
                <w:color w:val="000000"/>
                <w:sz w:val="24"/>
              </w:rPr>
              <w:t>8%</w:t>
            </w:r>
          </w:p>
        </w:tc>
        <w:tc>
          <w:tcPr>
            <w:tcW w:w="1596" w:type="dxa"/>
            <w:vMerge w:val="continue"/>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olor w:val="000000"/>
                <w:sz w:val="24"/>
              </w:rPr>
              <w:t>板卡四的检测与维修</w:t>
            </w:r>
          </w:p>
        </w:tc>
        <w:tc>
          <w:tcPr>
            <w:tcW w:w="1116" w:type="dxa"/>
          </w:tcPr>
          <w:p>
            <w:pPr>
              <w:jc w:val="center"/>
              <w:rPr>
                <w:rFonts w:ascii="仿宋" w:hAnsi="仿宋" w:eastAsia="仿宋"/>
              </w:rPr>
            </w:pPr>
            <w:r>
              <w:rPr>
                <w:rFonts w:ascii="仿宋" w:hAnsi="仿宋" w:eastAsia="仿宋"/>
                <w:color w:val="000000"/>
                <w:sz w:val="24"/>
              </w:rPr>
              <w:t>8</w:t>
            </w:r>
            <w:r>
              <w:rPr>
                <w:rFonts w:hint="eastAsia" w:ascii="仿宋" w:hAnsi="仿宋" w:eastAsia="仿宋"/>
                <w:color w:val="000000"/>
                <w:sz w:val="24"/>
              </w:rPr>
              <w:t>%</w:t>
            </w:r>
          </w:p>
        </w:tc>
        <w:tc>
          <w:tcPr>
            <w:tcW w:w="1596" w:type="dxa"/>
            <w:vMerge w:val="continue"/>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7" w:hRule="atLeast"/>
          <w:jc w:val="center"/>
        </w:trPr>
        <w:tc>
          <w:tcPr>
            <w:tcW w:w="1246" w:type="dxa"/>
            <w:vMerge w:val="restart"/>
            <w:vAlign w:val="center"/>
          </w:tcPr>
          <w:p>
            <w:pPr>
              <w:rPr>
                <w:rFonts w:ascii="仿宋" w:hAnsi="仿宋" w:eastAsia="仿宋"/>
                <w:color w:val="000000"/>
                <w:sz w:val="24"/>
              </w:rPr>
            </w:pPr>
            <w:r>
              <w:rPr>
                <w:rFonts w:hint="eastAsia" w:ascii="仿宋" w:hAnsi="仿宋" w:eastAsia="仿宋"/>
                <w:color w:val="000000"/>
                <w:sz w:val="24"/>
              </w:rPr>
              <w:t>存储介质维修及数据恢复</w:t>
            </w:r>
          </w:p>
        </w:tc>
        <w:tc>
          <w:tcPr>
            <w:tcW w:w="851" w:type="dxa"/>
            <w:vMerge w:val="restart"/>
            <w:vAlign w:val="center"/>
          </w:tcPr>
          <w:p>
            <w:pPr>
              <w:jc w:val="center"/>
              <w:rPr>
                <w:rFonts w:ascii="仿宋" w:hAnsi="仿宋" w:eastAsia="仿宋"/>
                <w:color w:val="000000"/>
                <w:sz w:val="24"/>
              </w:rPr>
            </w:pPr>
            <w:r>
              <w:rPr>
                <w:rFonts w:ascii="仿宋" w:hAnsi="仿宋" w:eastAsia="仿宋"/>
                <w:color w:val="000000"/>
                <w:sz w:val="24"/>
              </w:rPr>
              <w:t>50%</w:t>
            </w:r>
          </w:p>
        </w:tc>
        <w:tc>
          <w:tcPr>
            <w:tcW w:w="3436" w:type="dxa"/>
            <w:vAlign w:val="center"/>
          </w:tcPr>
          <w:p>
            <w:pPr>
              <w:rPr>
                <w:rFonts w:ascii="仿宋" w:hAnsi="仿宋" w:eastAsia="仿宋"/>
                <w:color w:val="000000"/>
                <w:sz w:val="24"/>
              </w:rPr>
            </w:pPr>
            <w:r>
              <w:rPr>
                <w:rFonts w:hint="eastAsia" w:ascii="仿宋" w:hAnsi="仿宋" w:eastAsia="仿宋"/>
                <w:color w:val="000000"/>
                <w:sz w:val="24"/>
              </w:rPr>
              <w:t>台式机硬盘数据恢复</w:t>
            </w:r>
          </w:p>
        </w:tc>
        <w:tc>
          <w:tcPr>
            <w:tcW w:w="1116" w:type="dxa"/>
          </w:tcPr>
          <w:p>
            <w:pPr>
              <w:jc w:val="center"/>
              <w:rPr>
                <w:rFonts w:ascii="仿宋" w:hAnsi="仿宋" w:eastAsia="仿宋"/>
              </w:rPr>
            </w:pPr>
            <w:r>
              <w:rPr>
                <w:rFonts w:hint="eastAsia" w:ascii="仿宋" w:hAnsi="仿宋" w:eastAsia="仿宋"/>
                <w:color w:val="000000"/>
                <w:sz w:val="24"/>
              </w:rPr>
              <w:t>15%</w:t>
            </w:r>
          </w:p>
        </w:tc>
        <w:tc>
          <w:tcPr>
            <w:tcW w:w="1596" w:type="dxa"/>
            <w:vMerge w:val="restart"/>
            <w:vAlign w:val="center"/>
          </w:tcPr>
          <w:p>
            <w:pPr>
              <w:jc w:val="center"/>
              <w:rPr>
                <w:rFonts w:ascii="仿宋" w:hAnsi="仿宋" w:eastAsia="仿宋"/>
                <w:color w:val="000000"/>
                <w:sz w:val="24"/>
              </w:rPr>
            </w:pPr>
            <w:r>
              <w:rPr>
                <w:rFonts w:hint="eastAsia" w:ascii="仿宋" w:hAnsi="仿宋" w:eastAsia="仿宋"/>
                <w:color w:val="000000"/>
                <w:sz w:val="24"/>
              </w:rPr>
              <w:t>客观性评分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olor w:val="000000"/>
                <w:sz w:val="24"/>
              </w:rPr>
              <w:t>笔记本硬盘数据恢复</w:t>
            </w:r>
          </w:p>
        </w:tc>
        <w:tc>
          <w:tcPr>
            <w:tcW w:w="1116" w:type="dxa"/>
          </w:tcPr>
          <w:p>
            <w:pPr>
              <w:jc w:val="center"/>
              <w:rPr>
                <w:rFonts w:ascii="仿宋" w:hAnsi="仿宋" w:eastAsia="仿宋"/>
              </w:rPr>
            </w:pPr>
            <w:r>
              <w:rPr>
                <w:rFonts w:hint="eastAsia" w:ascii="仿宋" w:hAnsi="仿宋" w:eastAsia="仿宋"/>
                <w:color w:val="000000"/>
                <w:sz w:val="24"/>
              </w:rPr>
              <w:t>15%</w:t>
            </w:r>
          </w:p>
        </w:tc>
        <w:tc>
          <w:tcPr>
            <w:tcW w:w="1596" w:type="dxa"/>
            <w:vMerge w:val="continue"/>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olor w:val="000000"/>
                <w:sz w:val="24"/>
              </w:rPr>
              <w:t>U盘数据恢复</w:t>
            </w:r>
          </w:p>
        </w:tc>
        <w:tc>
          <w:tcPr>
            <w:tcW w:w="1116" w:type="dxa"/>
          </w:tcPr>
          <w:p>
            <w:pPr>
              <w:jc w:val="center"/>
              <w:rPr>
                <w:rFonts w:ascii="仿宋" w:hAnsi="仿宋" w:eastAsia="仿宋"/>
                <w:color w:val="000000"/>
                <w:sz w:val="24"/>
              </w:rPr>
            </w:pPr>
            <w:r>
              <w:rPr>
                <w:rFonts w:hint="eastAsia" w:ascii="仿宋" w:hAnsi="仿宋" w:eastAsia="仿宋"/>
                <w:color w:val="000000"/>
                <w:sz w:val="24"/>
              </w:rPr>
              <w:t>10%</w:t>
            </w:r>
          </w:p>
        </w:tc>
        <w:tc>
          <w:tcPr>
            <w:tcW w:w="1596" w:type="dxa"/>
            <w:vMerge w:val="continue"/>
            <w:vAlign w:val="center"/>
          </w:tcPr>
          <w:p>
            <w:pPr>
              <w:jc w:val="center"/>
              <w:rPr>
                <w:rFonts w:ascii="仿宋" w:hAnsi="仿宋" w:eastAsia="仿宋"/>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7" w:hRule="atLeast"/>
          <w:jc w:val="center"/>
        </w:trPr>
        <w:tc>
          <w:tcPr>
            <w:tcW w:w="1246" w:type="dxa"/>
            <w:vMerge w:val="restart"/>
            <w:vAlign w:val="center"/>
          </w:tcPr>
          <w:p>
            <w:pPr>
              <w:rPr>
                <w:rFonts w:ascii="仿宋" w:hAnsi="仿宋" w:eastAsia="仿宋"/>
                <w:color w:val="000000"/>
                <w:sz w:val="24"/>
              </w:rPr>
            </w:pPr>
            <w:r>
              <w:rPr>
                <w:rFonts w:hint="eastAsia" w:ascii="仿宋" w:hAnsi="仿宋" w:eastAsia="仿宋"/>
                <w:color w:val="000000"/>
                <w:sz w:val="24"/>
              </w:rPr>
              <w:t>填写竞赛报告单</w:t>
            </w:r>
          </w:p>
        </w:tc>
        <w:tc>
          <w:tcPr>
            <w:tcW w:w="851" w:type="dxa"/>
            <w:vMerge w:val="restart"/>
            <w:vAlign w:val="center"/>
          </w:tcPr>
          <w:p>
            <w:pPr>
              <w:jc w:val="center"/>
              <w:rPr>
                <w:rFonts w:ascii="仿宋" w:hAnsi="仿宋" w:eastAsia="仿宋"/>
                <w:color w:val="000000"/>
                <w:sz w:val="24"/>
              </w:rPr>
            </w:pPr>
            <w:r>
              <w:rPr>
                <w:rFonts w:hint="eastAsia" w:ascii="仿宋" w:hAnsi="仿宋" w:eastAsia="仿宋"/>
                <w:color w:val="000000"/>
                <w:sz w:val="24"/>
              </w:rPr>
              <w:t>15%</w:t>
            </w:r>
          </w:p>
        </w:tc>
        <w:tc>
          <w:tcPr>
            <w:tcW w:w="3436" w:type="dxa"/>
            <w:vAlign w:val="center"/>
          </w:tcPr>
          <w:p>
            <w:pPr>
              <w:rPr>
                <w:rFonts w:ascii="仿宋" w:hAnsi="仿宋" w:eastAsia="仿宋"/>
                <w:color w:val="000000"/>
                <w:sz w:val="24"/>
              </w:rPr>
            </w:pPr>
            <w:r>
              <w:rPr>
                <w:rFonts w:hint="eastAsia" w:ascii="仿宋" w:hAnsi="仿宋" w:eastAsia="仿宋"/>
                <w:color w:val="000000"/>
                <w:sz w:val="24"/>
              </w:rPr>
              <w:t>故障点编号标识</w:t>
            </w:r>
          </w:p>
        </w:tc>
        <w:tc>
          <w:tcPr>
            <w:tcW w:w="1116" w:type="dxa"/>
            <w:vAlign w:val="center"/>
          </w:tcPr>
          <w:p>
            <w:pPr>
              <w:jc w:val="center"/>
              <w:rPr>
                <w:rFonts w:ascii="仿宋" w:hAnsi="仿宋" w:eastAsia="仿宋"/>
                <w:color w:val="000000"/>
                <w:sz w:val="24"/>
              </w:rPr>
            </w:pPr>
            <w:r>
              <w:rPr>
                <w:rFonts w:hint="eastAsia" w:ascii="仿宋" w:hAnsi="仿宋" w:eastAsia="仿宋"/>
                <w:color w:val="000000"/>
                <w:sz w:val="24"/>
              </w:rPr>
              <w:t>5%</w:t>
            </w:r>
          </w:p>
        </w:tc>
        <w:tc>
          <w:tcPr>
            <w:tcW w:w="1596" w:type="dxa"/>
            <w:vAlign w:val="center"/>
          </w:tcPr>
          <w:p>
            <w:pPr>
              <w:jc w:val="center"/>
              <w:rPr>
                <w:rFonts w:ascii="仿宋" w:hAnsi="仿宋" w:eastAsia="仿宋"/>
                <w:color w:val="000000"/>
                <w:sz w:val="24"/>
              </w:rPr>
            </w:pPr>
            <w:r>
              <w:rPr>
                <w:rFonts w:hint="eastAsia" w:ascii="仿宋" w:hAnsi="仿宋" w:eastAsia="仿宋"/>
                <w:color w:val="000000"/>
                <w:sz w:val="24"/>
              </w:rPr>
              <w:t>客观性评分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olor w:val="000000"/>
                <w:sz w:val="24"/>
              </w:rPr>
              <w:t>故障维修过程描述</w:t>
            </w:r>
          </w:p>
        </w:tc>
        <w:tc>
          <w:tcPr>
            <w:tcW w:w="1116" w:type="dxa"/>
            <w:vAlign w:val="center"/>
          </w:tcPr>
          <w:p>
            <w:pPr>
              <w:jc w:val="center"/>
              <w:rPr>
                <w:rFonts w:ascii="仿宋" w:hAnsi="仿宋" w:eastAsia="仿宋"/>
                <w:color w:val="000000"/>
                <w:sz w:val="24"/>
              </w:rPr>
            </w:pPr>
            <w:r>
              <w:rPr>
                <w:rFonts w:hint="eastAsia" w:ascii="仿宋" w:hAnsi="仿宋" w:eastAsia="仿宋"/>
                <w:color w:val="000000"/>
                <w:sz w:val="24"/>
              </w:rPr>
              <w:t>10%</w:t>
            </w:r>
          </w:p>
        </w:tc>
        <w:tc>
          <w:tcPr>
            <w:tcW w:w="1596" w:type="dxa"/>
            <w:vAlign w:val="center"/>
          </w:tcPr>
          <w:p>
            <w:pPr>
              <w:jc w:val="center"/>
              <w:rPr>
                <w:rFonts w:ascii="仿宋" w:hAnsi="仿宋" w:eastAsia="仿宋"/>
                <w:color w:val="000000"/>
                <w:sz w:val="24"/>
              </w:rPr>
            </w:pPr>
            <w:r>
              <w:rPr>
                <w:rFonts w:hint="eastAsia" w:ascii="仿宋" w:hAnsi="仿宋" w:eastAsia="仿宋"/>
                <w:color w:val="000000"/>
                <w:sz w:val="24"/>
              </w:rPr>
              <w:t>主观性评分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7" w:hRule="atLeast"/>
          <w:jc w:val="center"/>
        </w:trPr>
        <w:tc>
          <w:tcPr>
            <w:tcW w:w="1246" w:type="dxa"/>
            <w:vMerge w:val="restart"/>
            <w:vAlign w:val="center"/>
          </w:tcPr>
          <w:p>
            <w:pPr>
              <w:rPr>
                <w:rFonts w:ascii="仿宋" w:hAnsi="仿宋" w:eastAsia="仿宋"/>
                <w:color w:val="000000"/>
                <w:sz w:val="24"/>
              </w:rPr>
            </w:pPr>
            <w:r>
              <w:rPr>
                <w:rFonts w:hint="eastAsia" w:ascii="仿宋" w:hAnsi="仿宋" w:eastAsia="仿宋"/>
                <w:color w:val="000000"/>
                <w:sz w:val="24"/>
              </w:rPr>
              <w:t>职业素养</w:t>
            </w:r>
          </w:p>
        </w:tc>
        <w:tc>
          <w:tcPr>
            <w:tcW w:w="851" w:type="dxa"/>
            <w:vMerge w:val="restart"/>
            <w:vAlign w:val="center"/>
          </w:tcPr>
          <w:p>
            <w:pPr>
              <w:jc w:val="center"/>
              <w:rPr>
                <w:rFonts w:ascii="仿宋" w:hAnsi="仿宋" w:eastAsia="仿宋"/>
                <w:color w:val="000000"/>
                <w:sz w:val="24"/>
              </w:rPr>
            </w:pPr>
            <w:r>
              <w:rPr>
                <w:rFonts w:hint="eastAsia" w:ascii="仿宋" w:hAnsi="仿宋" w:eastAsia="仿宋"/>
                <w:color w:val="000000"/>
                <w:sz w:val="24"/>
              </w:rPr>
              <w:t>5%</w:t>
            </w:r>
          </w:p>
        </w:tc>
        <w:tc>
          <w:tcPr>
            <w:tcW w:w="3436" w:type="dxa"/>
            <w:vAlign w:val="center"/>
          </w:tcPr>
          <w:p>
            <w:pPr>
              <w:rPr>
                <w:rFonts w:ascii="仿宋" w:hAnsi="仿宋" w:eastAsia="仿宋"/>
                <w:color w:val="000000"/>
                <w:sz w:val="24"/>
              </w:rPr>
            </w:pPr>
            <w:r>
              <w:rPr>
                <w:rFonts w:hint="eastAsia" w:ascii="仿宋" w:hAnsi="仿宋" w:eastAsia="仿宋" w:cs="仿宋"/>
                <w:bCs/>
                <w:color w:val="000000"/>
                <w:sz w:val="24"/>
              </w:rPr>
              <w:t>操作规范</w:t>
            </w:r>
          </w:p>
        </w:tc>
        <w:tc>
          <w:tcPr>
            <w:tcW w:w="1116" w:type="dxa"/>
            <w:vAlign w:val="center"/>
          </w:tcPr>
          <w:p>
            <w:pPr>
              <w:jc w:val="center"/>
              <w:rPr>
                <w:rFonts w:ascii="仿宋" w:hAnsi="仿宋" w:eastAsia="仿宋"/>
                <w:color w:val="000000"/>
                <w:sz w:val="24"/>
              </w:rPr>
            </w:pPr>
            <w:r>
              <w:rPr>
                <w:rFonts w:hint="eastAsia" w:ascii="仿宋" w:hAnsi="仿宋" w:eastAsia="仿宋" w:cs="仿宋"/>
                <w:bCs/>
                <w:color w:val="000000"/>
                <w:sz w:val="24"/>
              </w:rPr>
              <w:t>3%</w:t>
            </w:r>
          </w:p>
        </w:tc>
        <w:tc>
          <w:tcPr>
            <w:tcW w:w="1596" w:type="dxa"/>
            <w:vAlign w:val="center"/>
          </w:tcPr>
          <w:p>
            <w:pPr>
              <w:jc w:val="center"/>
              <w:rPr>
                <w:rFonts w:ascii="仿宋" w:hAnsi="仿宋" w:eastAsia="仿宋"/>
                <w:color w:val="000000"/>
                <w:sz w:val="24"/>
              </w:rPr>
            </w:pPr>
            <w:r>
              <w:rPr>
                <w:rFonts w:hint="eastAsia" w:ascii="仿宋" w:hAnsi="仿宋" w:eastAsia="仿宋" w:cs="仿宋"/>
                <w:bCs/>
                <w:color w:val="000000"/>
                <w:sz w:val="24"/>
              </w:rPr>
              <w:t>主观性评分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97" w:hRule="atLeast"/>
          <w:jc w:val="center"/>
        </w:trPr>
        <w:tc>
          <w:tcPr>
            <w:tcW w:w="1246" w:type="dxa"/>
            <w:vMerge w:val="continue"/>
            <w:vAlign w:val="center"/>
          </w:tcPr>
          <w:p>
            <w:pPr>
              <w:rPr>
                <w:rFonts w:ascii="仿宋" w:hAnsi="仿宋" w:eastAsia="仿宋"/>
                <w:color w:val="000000"/>
                <w:sz w:val="24"/>
              </w:rPr>
            </w:pPr>
          </w:p>
        </w:tc>
        <w:tc>
          <w:tcPr>
            <w:tcW w:w="851" w:type="dxa"/>
            <w:vMerge w:val="continue"/>
            <w:vAlign w:val="center"/>
          </w:tcPr>
          <w:p>
            <w:pPr>
              <w:jc w:val="center"/>
              <w:rPr>
                <w:rFonts w:ascii="仿宋" w:hAnsi="仿宋" w:eastAsia="仿宋"/>
                <w:color w:val="000000"/>
                <w:sz w:val="24"/>
              </w:rPr>
            </w:pPr>
          </w:p>
        </w:tc>
        <w:tc>
          <w:tcPr>
            <w:tcW w:w="3436" w:type="dxa"/>
            <w:vAlign w:val="center"/>
          </w:tcPr>
          <w:p>
            <w:pPr>
              <w:rPr>
                <w:rFonts w:ascii="仿宋" w:hAnsi="仿宋" w:eastAsia="仿宋"/>
                <w:color w:val="000000"/>
                <w:sz w:val="24"/>
              </w:rPr>
            </w:pPr>
            <w:r>
              <w:rPr>
                <w:rFonts w:hint="eastAsia" w:ascii="仿宋" w:hAnsi="仿宋" w:eastAsia="仿宋" w:cs="仿宋"/>
                <w:bCs/>
                <w:color w:val="000000"/>
                <w:sz w:val="24"/>
              </w:rPr>
              <w:t>工位整洁</w:t>
            </w:r>
          </w:p>
        </w:tc>
        <w:tc>
          <w:tcPr>
            <w:tcW w:w="1116" w:type="dxa"/>
            <w:vAlign w:val="center"/>
          </w:tcPr>
          <w:p>
            <w:pPr>
              <w:jc w:val="center"/>
              <w:rPr>
                <w:rFonts w:ascii="仿宋" w:hAnsi="仿宋" w:eastAsia="仿宋"/>
                <w:color w:val="000000"/>
                <w:sz w:val="24"/>
              </w:rPr>
            </w:pPr>
            <w:r>
              <w:rPr>
                <w:rFonts w:hint="eastAsia" w:ascii="仿宋" w:hAnsi="仿宋" w:eastAsia="仿宋" w:cs="仿宋"/>
                <w:bCs/>
                <w:color w:val="000000"/>
                <w:sz w:val="24"/>
              </w:rPr>
              <w:t>2%</w:t>
            </w:r>
          </w:p>
        </w:tc>
        <w:tc>
          <w:tcPr>
            <w:tcW w:w="1596" w:type="dxa"/>
            <w:vAlign w:val="center"/>
          </w:tcPr>
          <w:p>
            <w:pPr>
              <w:jc w:val="center"/>
              <w:rPr>
                <w:rFonts w:ascii="仿宋" w:hAnsi="仿宋" w:eastAsia="仿宋"/>
                <w:color w:val="000000"/>
                <w:sz w:val="24"/>
              </w:rPr>
            </w:pPr>
            <w:r>
              <w:rPr>
                <w:rFonts w:hint="eastAsia" w:ascii="仿宋" w:hAnsi="仿宋" w:eastAsia="仿宋" w:cs="仿宋"/>
                <w:bCs/>
                <w:color w:val="000000"/>
                <w:sz w:val="24"/>
              </w:rPr>
              <w:t>主观性评分</w:t>
            </w:r>
          </w:p>
        </w:tc>
      </w:tr>
    </w:tbl>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（三）成绩复核与公布</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为保障成绩评判的准确性，监督组将对赛项总成绩排名前30%的所有参赛队伍（选手）的成绩进行复核；对其余成绩进行抽检复核，抽检覆盖率不得低于15%。如发现成绩错误以书面方式及时告知裁判长，由裁判长更正成绩并签字确认。复核、抽检错误率超过5%的，裁判组将对所有成绩进行复核。</w:t>
      </w:r>
    </w:p>
    <w:p>
      <w:pPr>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2．竞赛成绩经复核无误后，由项目裁判长、总裁判长、监督人员审核签字后确定。竞赛成绩通过赛场显示屏和网络直播等方式进行实时公布。若有异议，经过规定程序仲裁后，按照仲裁结果公布比赛成绩。</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十二、奖项设定</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本赛项依照实际参赛选手数量确定奖项：一等奖占参赛队总数的10%，二等奖占参赛队总数的20%，三等奖占参赛队总数的30%，小数点后四舍五入。</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color w:val="000000"/>
          <w:sz w:val="28"/>
          <w:szCs w:val="28"/>
        </w:rPr>
        <w:t>获得一等奖参赛队的指导教师，由大赛组委会颁发优秀指导教师证书。</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十三、赛项安全</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赛事安全是技能竞赛一切工作顺利开展的先决条件，是赛事筹备和运行工作必须考虑的核心问题。赛项执委会采取切实有效措施保证大赛期间参赛选手、指导教师、裁判员、工作人员及观众的人身安全。</w:t>
      </w:r>
    </w:p>
    <w:p>
      <w:pPr>
        <w:spacing w:line="560" w:lineRule="exact"/>
        <w:ind w:firstLine="420" w:firstLineChars="150"/>
        <w:rPr>
          <w:rFonts w:ascii="仿宋" w:hAnsi="仿宋" w:eastAsia="仿宋" w:cs="仿宋_GB2312"/>
          <w:color w:val="000000"/>
          <w:sz w:val="28"/>
          <w:szCs w:val="28"/>
        </w:rPr>
      </w:pPr>
      <w:bookmarkStart w:id="0" w:name="_Toc361563584"/>
      <w:r>
        <w:rPr>
          <w:rFonts w:hint="eastAsia" w:ascii="仿宋" w:hAnsi="仿宋" w:eastAsia="仿宋" w:cs="仿宋_GB2312"/>
          <w:color w:val="000000"/>
          <w:sz w:val="28"/>
          <w:szCs w:val="28"/>
        </w:rPr>
        <w:t>（一）比赛环境</w:t>
      </w:r>
      <w:bookmarkEnd w:id="0"/>
    </w:p>
    <w:p>
      <w:pPr>
        <w:pStyle w:val="18"/>
        <w:numPr>
          <w:ilvl w:val="0"/>
          <w:numId w:val="1"/>
        </w:numPr>
        <w:tabs>
          <w:tab w:val="left" w:pos="851"/>
        </w:tabs>
        <w:adjustRightInd w:val="0"/>
        <w:snapToGrid w:val="0"/>
        <w:spacing w:beforeLines="0" w:afterLines="0" w:line="560" w:lineRule="exact"/>
        <w:ind w:left="0" w:firstLine="567" w:firstLineChars="0"/>
        <w:rPr>
          <w:rFonts w:ascii="仿宋" w:hAnsi="仿宋" w:eastAsia="仿宋" w:cs="仿宋_GB2312"/>
          <w:color w:val="000000"/>
          <w:szCs w:val="28"/>
        </w:rPr>
      </w:pPr>
      <w:r>
        <w:rPr>
          <w:rFonts w:hint="eastAsia" w:ascii="仿宋" w:hAnsi="仿宋" w:eastAsia="仿宋" w:cs="仿宋_GB2312"/>
          <w:color w:val="000000"/>
          <w:szCs w:val="28"/>
        </w:rPr>
        <w:t>执委会须在赛前组织专人对比赛现场、住宿场所和交通保障进行考察，并对安全工作提出明确要求。赛场的布置，赛场内的器材、设备，应符合国家有关安全规定。如有必要，也可进行赛场仿真模拟测试，以发现可能出现的问题。承办单位赛前须按照执委会要求排除安全隐患。</w:t>
      </w:r>
    </w:p>
    <w:p>
      <w:pPr>
        <w:pStyle w:val="18"/>
        <w:numPr>
          <w:ilvl w:val="0"/>
          <w:numId w:val="1"/>
        </w:numPr>
        <w:tabs>
          <w:tab w:val="left" w:pos="851"/>
        </w:tabs>
        <w:adjustRightInd w:val="0"/>
        <w:snapToGrid w:val="0"/>
        <w:spacing w:beforeLines="0" w:afterLines="0" w:line="560" w:lineRule="exact"/>
        <w:ind w:left="0" w:firstLine="567" w:firstLineChars="0"/>
        <w:rPr>
          <w:rFonts w:ascii="仿宋" w:hAnsi="仿宋" w:eastAsia="仿宋" w:cs="仿宋_GB2312"/>
          <w:color w:val="000000"/>
          <w:szCs w:val="28"/>
        </w:rPr>
      </w:pPr>
      <w:r>
        <w:rPr>
          <w:rFonts w:hint="eastAsia" w:ascii="仿宋" w:hAnsi="仿宋" w:eastAsia="仿宋" w:cs="仿宋_GB2312"/>
          <w:color w:val="000000"/>
          <w:szCs w:val="28"/>
        </w:rPr>
        <w:t>赛场周围要设立警戒线，防止无关人员进入发生意外事件。比赛现场内应参照相关职业岗位的要求为选手提供必要的劳动保护。在具有危险性的操作环节，裁判员要严防选手出现错误操作。</w:t>
      </w:r>
    </w:p>
    <w:p>
      <w:pPr>
        <w:pStyle w:val="18"/>
        <w:numPr>
          <w:ilvl w:val="0"/>
          <w:numId w:val="1"/>
        </w:numPr>
        <w:tabs>
          <w:tab w:val="left" w:pos="851"/>
        </w:tabs>
        <w:adjustRightInd w:val="0"/>
        <w:snapToGrid w:val="0"/>
        <w:spacing w:beforeLines="0" w:afterLines="0" w:line="560" w:lineRule="exact"/>
        <w:ind w:left="0" w:firstLine="567" w:firstLineChars="0"/>
        <w:rPr>
          <w:rFonts w:ascii="仿宋" w:hAnsi="仿宋" w:eastAsia="仿宋" w:cs="仿宋_GB2312"/>
          <w:color w:val="000000"/>
          <w:szCs w:val="28"/>
        </w:rPr>
      </w:pPr>
      <w:r>
        <w:rPr>
          <w:rFonts w:hint="eastAsia" w:ascii="仿宋" w:hAnsi="仿宋" w:eastAsia="仿宋" w:cs="仿宋_GB2312"/>
          <w:color w:val="000000"/>
          <w:szCs w:val="28"/>
        </w:rPr>
        <w:t>承办单位应提供保证应急预案实施的条件。对于比赛内容涉及高空作业、可能有坠物、大用电量、易发生火灾等情况的赛项，必须明确制度和预案，并配备急救人员与设施。</w:t>
      </w:r>
    </w:p>
    <w:p>
      <w:pPr>
        <w:pStyle w:val="18"/>
        <w:numPr>
          <w:ilvl w:val="0"/>
          <w:numId w:val="1"/>
        </w:numPr>
        <w:tabs>
          <w:tab w:val="left" w:pos="851"/>
        </w:tabs>
        <w:adjustRightInd w:val="0"/>
        <w:snapToGrid w:val="0"/>
        <w:spacing w:beforeLines="0" w:afterLines="0" w:line="560" w:lineRule="exact"/>
        <w:ind w:left="0" w:firstLine="567" w:firstLineChars="0"/>
        <w:rPr>
          <w:rFonts w:ascii="仿宋" w:hAnsi="仿宋" w:eastAsia="仿宋" w:cs="仿宋_GB2312"/>
          <w:color w:val="000000"/>
          <w:szCs w:val="28"/>
        </w:rPr>
      </w:pPr>
      <w:r>
        <w:rPr>
          <w:rFonts w:hint="eastAsia" w:ascii="仿宋" w:hAnsi="仿宋" w:eastAsia="仿宋" w:cs="仿宋_GB2312"/>
          <w:color w:val="000000"/>
          <w:szCs w:val="28"/>
        </w:rPr>
        <w:t>承办单位制定开放赛场和体验区的人员疏导方案。赛场环境中存在人员密集、车流人流交错的区域，除了设置齐全的指示标志外，须增加引导人员，并开辟备用通道。</w:t>
      </w:r>
    </w:p>
    <w:p>
      <w:pPr>
        <w:pStyle w:val="18"/>
        <w:numPr>
          <w:ilvl w:val="0"/>
          <w:numId w:val="1"/>
        </w:numPr>
        <w:tabs>
          <w:tab w:val="left" w:pos="851"/>
        </w:tabs>
        <w:adjustRightInd w:val="0"/>
        <w:snapToGrid w:val="0"/>
        <w:spacing w:beforeLines="0" w:afterLines="0" w:line="560" w:lineRule="exact"/>
        <w:ind w:left="0" w:firstLine="567" w:firstLineChars="0"/>
        <w:rPr>
          <w:rFonts w:ascii="仿宋" w:hAnsi="仿宋" w:eastAsia="仿宋" w:cs="仿宋_GB2312"/>
          <w:color w:val="000000"/>
          <w:szCs w:val="28"/>
        </w:rPr>
      </w:pPr>
      <w:r>
        <w:rPr>
          <w:rFonts w:hint="eastAsia" w:ascii="仿宋" w:hAnsi="仿宋" w:eastAsia="仿宋" w:cs="仿宋_GB2312"/>
          <w:color w:val="000000"/>
          <w:szCs w:val="28"/>
        </w:rPr>
        <w:t>大赛期间，承办单位须在赛场管理的关键岗位，增加力量，建立安全管理日志。</w:t>
      </w:r>
    </w:p>
    <w:p>
      <w:pPr>
        <w:pStyle w:val="18"/>
        <w:numPr>
          <w:ilvl w:val="0"/>
          <w:numId w:val="1"/>
        </w:numPr>
        <w:tabs>
          <w:tab w:val="left" w:pos="851"/>
        </w:tabs>
        <w:adjustRightInd w:val="0"/>
        <w:snapToGrid w:val="0"/>
        <w:spacing w:beforeLines="0" w:afterLines="0" w:line="560" w:lineRule="exact"/>
        <w:ind w:left="0" w:firstLine="567" w:firstLineChars="0"/>
        <w:rPr>
          <w:rFonts w:ascii="仿宋" w:hAnsi="仿宋" w:eastAsia="仿宋" w:cs="仿宋_GB2312"/>
          <w:color w:val="000000"/>
          <w:szCs w:val="28"/>
        </w:rPr>
      </w:pPr>
      <w:r>
        <w:rPr>
          <w:rFonts w:hint="eastAsia" w:ascii="仿宋" w:hAnsi="仿宋" w:eastAsia="仿宋" w:cs="仿宋_GB2312"/>
          <w:color w:val="000000"/>
          <w:szCs w:val="28"/>
        </w:rPr>
        <w:t>参赛选手进入赛位、赛事裁判工作人员进入工作场所，严禁携带通讯、照相摄录设备，禁止携带记录用具。如确有需要，由赛场统一配置、统一管理。赛项可根据需要配置安检设备对进入赛场重要部位的人员进行安检。</w:t>
      </w:r>
    </w:p>
    <w:p>
      <w:pPr>
        <w:spacing w:line="560" w:lineRule="exact"/>
        <w:ind w:firstLine="420" w:firstLineChars="150"/>
        <w:rPr>
          <w:rFonts w:ascii="仿宋" w:hAnsi="仿宋" w:eastAsia="仿宋" w:cs="仿宋_GB2312"/>
          <w:color w:val="000000"/>
          <w:sz w:val="28"/>
          <w:szCs w:val="28"/>
        </w:rPr>
      </w:pPr>
      <w:bookmarkStart w:id="1" w:name="_Toc361563585"/>
      <w:r>
        <w:rPr>
          <w:rFonts w:hint="eastAsia" w:ascii="仿宋" w:hAnsi="仿宋" w:eastAsia="仿宋" w:cs="仿宋_GB2312"/>
          <w:color w:val="000000"/>
          <w:sz w:val="28"/>
          <w:szCs w:val="28"/>
        </w:rPr>
        <w:t>（二）生活条件</w:t>
      </w:r>
      <w:bookmarkEnd w:id="1"/>
    </w:p>
    <w:p>
      <w:pPr>
        <w:pStyle w:val="18"/>
        <w:numPr>
          <w:ilvl w:val="0"/>
          <w:numId w:val="2"/>
        </w:numPr>
        <w:tabs>
          <w:tab w:val="left" w:pos="0"/>
          <w:tab w:val="left" w:pos="851"/>
        </w:tabs>
        <w:adjustRightInd w:val="0"/>
        <w:snapToGrid w:val="0"/>
        <w:spacing w:beforeLines="0" w:afterLines="0" w:line="560" w:lineRule="exact"/>
        <w:ind w:left="0" w:firstLine="565" w:firstLineChars="202"/>
        <w:rPr>
          <w:rFonts w:ascii="仿宋" w:hAnsi="仿宋" w:eastAsia="仿宋" w:cs="仿宋_GB2312"/>
          <w:color w:val="000000"/>
          <w:szCs w:val="28"/>
        </w:rPr>
      </w:pPr>
      <w:r>
        <w:rPr>
          <w:rFonts w:hint="eastAsia" w:ascii="仿宋" w:hAnsi="仿宋" w:eastAsia="仿宋" w:cs="仿宋_GB2312"/>
          <w:color w:val="000000"/>
          <w:szCs w:val="28"/>
        </w:rPr>
        <w:t>比赛期间，参赛选手和指导教师食宿</w:t>
      </w:r>
      <w:r>
        <w:rPr>
          <w:rFonts w:hint="eastAsia" w:ascii="仿宋" w:hAnsi="仿宋" w:eastAsia="仿宋" w:cs="仿宋_GB2312"/>
          <w:color w:val="000000"/>
          <w:szCs w:val="28"/>
          <w:lang w:eastAsia="zh-CN"/>
        </w:rPr>
        <w:t>由参赛单位自行安排</w:t>
      </w:r>
      <w:r>
        <w:rPr>
          <w:rFonts w:hint="eastAsia" w:ascii="仿宋" w:hAnsi="仿宋" w:eastAsia="仿宋" w:cs="仿宋_GB2312"/>
          <w:color w:val="000000"/>
          <w:szCs w:val="28"/>
        </w:rPr>
        <w:t>。承办单位须尊重少数民族的信仰及文化，根据国家相关的民族政策，安排好少数民族选手和教师的饮食起居。</w:t>
      </w:r>
    </w:p>
    <w:p>
      <w:pPr>
        <w:pStyle w:val="18"/>
        <w:numPr>
          <w:ilvl w:val="0"/>
          <w:numId w:val="2"/>
        </w:numPr>
        <w:tabs>
          <w:tab w:val="left" w:pos="0"/>
          <w:tab w:val="left" w:pos="851"/>
        </w:tabs>
        <w:adjustRightInd w:val="0"/>
        <w:snapToGrid w:val="0"/>
        <w:spacing w:beforeLines="0" w:afterLines="0" w:line="560" w:lineRule="exact"/>
        <w:ind w:left="0" w:firstLine="565" w:firstLineChars="202"/>
        <w:rPr>
          <w:rFonts w:ascii="仿宋" w:hAnsi="仿宋" w:eastAsia="仿宋" w:cs="仿宋_GB2312"/>
          <w:color w:val="000000"/>
          <w:szCs w:val="28"/>
        </w:rPr>
      </w:pPr>
      <w:r>
        <w:rPr>
          <w:rFonts w:hint="eastAsia" w:ascii="仿宋" w:hAnsi="仿宋" w:eastAsia="仿宋" w:cs="仿宋_GB2312"/>
          <w:color w:val="000000"/>
          <w:szCs w:val="28"/>
        </w:rPr>
        <w:t>比赛期间安排的住宿地应具有宾馆/住宿经营许可资质。大赛期间有组织的参观和观摩活动的交通安全由执委会负责。承办单位须保证比赛期间选手、指导教师和裁判员、工作人员的交通安全。</w:t>
      </w:r>
    </w:p>
    <w:p>
      <w:pPr>
        <w:pStyle w:val="18"/>
        <w:numPr>
          <w:ilvl w:val="0"/>
          <w:numId w:val="2"/>
        </w:numPr>
        <w:tabs>
          <w:tab w:val="left" w:pos="0"/>
          <w:tab w:val="left" w:pos="851"/>
        </w:tabs>
        <w:adjustRightInd w:val="0"/>
        <w:snapToGrid w:val="0"/>
        <w:spacing w:beforeLines="0" w:afterLines="0" w:line="560" w:lineRule="exact"/>
        <w:ind w:left="0" w:firstLine="565" w:firstLineChars="202"/>
        <w:rPr>
          <w:rFonts w:ascii="仿宋" w:hAnsi="仿宋" w:eastAsia="仿宋" w:cs="仿宋_GB2312"/>
          <w:color w:val="000000"/>
          <w:szCs w:val="28"/>
        </w:rPr>
      </w:pPr>
      <w:r>
        <w:rPr>
          <w:rFonts w:hint="eastAsia" w:ascii="仿宋" w:hAnsi="仿宋" w:eastAsia="仿宋" w:cs="仿宋_GB2312"/>
          <w:color w:val="000000"/>
          <w:szCs w:val="28"/>
        </w:rPr>
        <w:t>各赛项的安全管理，除了可以采取必要的安全隔离措施外，应严格遵守国家相关法律法规，保护个人隐私和人身自由。</w:t>
      </w:r>
    </w:p>
    <w:p>
      <w:pPr>
        <w:spacing w:line="560" w:lineRule="exact"/>
        <w:ind w:firstLine="420" w:firstLineChars="150"/>
        <w:rPr>
          <w:rFonts w:ascii="仿宋" w:hAnsi="仿宋" w:eastAsia="仿宋" w:cs="仿宋_GB2312"/>
          <w:color w:val="000000"/>
          <w:sz w:val="28"/>
          <w:szCs w:val="28"/>
        </w:rPr>
      </w:pPr>
      <w:bookmarkStart w:id="2" w:name="_Toc361563586"/>
      <w:r>
        <w:rPr>
          <w:rFonts w:hint="eastAsia" w:ascii="仿宋" w:hAnsi="仿宋" w:eastAsia="仿宋" w:cs="仿宋_GB2312"/>
          <w:color w:val="000000"/>
          <w:sz w:val="28"/>
          <w:szCs w:val="28"/>
        </w:rPr>
        <w:t>（三）组队责任</w:t>
      </w:r>
      <w:bookmarkEnd w:id="2"/>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1.各学校组织代表队时，须安排为参赛选手购买大赛期间的人身意外伤害保险。</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2.各学校代表队组成后，须制定相关管理制度，并对所有选手、指导教师进行安全教育。</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3.各参赛队伍须加强对参与比赛人员的安全管理，实现与赛场安全管理的对接。</w:t>
      </w:r>
    </w:p>
    <w:p>
      <w:pPr>
        <w:spacing w:line="560" w:lineRule="exact"/>
        <w:ind w:firstLine="420" w:firstLineChars="150"/>
        <w:rPr>
          <w:rFonts w:ascii="仿宋" w:hAnsi="仿宋" w:eastAsia="仿宋" w:cs="仿宋_GB2312"/>
          <w:color w:val="000000"/>
          <w:sz w:val="28"/>
          <w:szCs w:val="28"/>
        </w:rPr>
      </w:pPr>
      <w:bookmarkStart w:id="3" w:name="_Toc361563587"/>
      <w:r>
        <w:rPr>
          <w:rFonts w:hint="eastAsia" w:ascii="仿宋" w:hAnsi="仿宋" w:eastAsia="仿宋" w:cs="仿宋_GB2312"/>
          <w:color w:val="000000"/>
          <w:sz w:val="28"/>
          <w:szCs w:val="28"/>
        </w:rPr>
        <w:t>（四）应急处理</w:t>
      </w:r>
      <w:bookmarkEnd w:id="3"/>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比赛期间发生意外事故，发现者应第一时间报告赛项执委会，同时采取措施避免事态扩大。赛项执委会应立即启动预案予以解决并报告赛区执委会。赛项出现重大安全问题可以停赛，是否停赛由赛区组委会决定。事后，赛区执委会应向大赛执委会报告详细情况。</w:t>
      </w:r>
    </w:p>
    <w:p>
      <w:pPr>
        <w:spacing w:line="560" w:lineRule="exact"/>
        <w:ind w:firstLine="420" w:firstLineChars="150"/>
        <w:rPr>
          <w:rFonts w:ascii="仿宋" w:hAnsi="仿宋" w:eastAsia="仿宋" w:cs="仿宋_GB2312"/>
          <w:color w:val="000000"/>
          <w:sz w:val="28"/>
          <w:szCs w:val="28"/>
        </w:rPr>
      </w:pPr>
      <w:bookmarkStart w:id="4" w:name="_Toc361563588"/>
      <w:r>
        <w:rPr>
          <w:rFonts w:hint="eastAsia" w:ascii="仿宋" w:hAnsi="仿宋" w:eastAsia="仿宋" w:cs="仿宋_GB2312"/>
          <w:color w:val="000000"/>
          <w:sz w:val="28"/>
          <w:szCs w:val="28"/>
        </w:rPr>
        <w:t>（五）处罚措施</w:t>
      </w:r>
      <w:bookmarkEnd w:id="4"/>
    </w:p>
    <w:p>
      <w:pPr>
        <w:pStyle w:val="18"/>
        <w:adjustRightInd w:val="0"/>
        <w:snapToGrid w:val="0"/>
        <w:spacing w:beforeLines="0" w:afterLines="0" w:line="560" w:lineRule="exact"/>
        <w:ind w:left="560" w:firstLine="0" w:firstLineChars="0"/>
        <w:rPr>
          <w:rFonts w:ascii="仿宋" w:hAnsi="仿宋" w:eastAsia="仿宋" w:cs="仿宋_GB2312"/>
          <w:color w:val="000000"/>
          <w:szCs w:val="28"/>
        </w:rPr>
      </w:pPr>
      <w:r>
        <w:rPr>
          <w:rFonts w:hint="eastAsia" w:ascii="仿宋" w:hAnsi="仿宋" w:eastAsia="仿宋" w:cs="仿宋_GB2312"/>
          <w:color w:val="000000"/>
          <w:szCs w:val="28"/>
        </w:rPr>
        <w:t>1.因参赛队伍原因造成重大安全事故的，取消其获奖资格。</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2.参赛队伍有发生重大安全事故隐患，经赛场工作人员提示、警告无效的，可取消其继续比赛的资格。</w:t>
      </w:r>
    </w:p>
    <w:p>
      <w:pPr>
        <w:pStyle w:val="18"/>
        <w:adjustRightInd w:val="0"/>
        <w:snapToGrid w:val="0"/>
        <w:spacing w:beforeLines="0" w:afterLines="0" w:line="560" w:lineRule="exact"/>
        <w:ind w:firstLine="560"/>
        <w:rPr>
          <w:rFonts w:ascii="仿宋" w:hAnsi="仿宋" w:eastAsia="仿宋" w:cs="仿宋_GB2312"/>
          <w:szCs w:val="28"/>
        </w:rPr>
      </w:pPr>
      <w:r>
        <w:rPr>
          <w:rFonts w:hint="eastAsia" w:ascii="仿宋" w:hAnsi="仿宋" w:eastAsia="仿宋" w:cs="仿宋_GB2312"/>
          <w:color w:val="000000"/>
          <w:szCs w:val="28"/>
        </w:rPr>
        <w:t>3.赛事工作人员违规的，按照相应的制度追究责任。情节恶劣并造成重大安全事故的，由司法机关追究相应法律责任。</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十四、竞赛须知</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（一）参赛队须知</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1.参赛队名称：统一使用规定的地区代表队名称，不使用学校或其他组织、团体的名称。</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参赛队选手和指导教师报名获得确认后不得随意更换。如备赛过程中参赛队选手和指导教师因故无法参赛，须由省级教育行政部门于相应赛项开赛10个工作日之前出具书面说明，经大赛执委会办公室核实后予以更换。</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3.符合下列情形之一的参赛选手，经裁判组裁定后中止其竞赛:</w:t>
      </w:r>
    </w:p>
    <w:p>
      <w:pPr>
        <w:adjustRightInd w:val="0"/>
        <w:snapToGrid w:val="0"/>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（1）不服从裁判员/监考员管理、扰乱赛场秩序、干扰其他参赛队选手比赛，裁判员应提出警告，二次警告后无效，或情节特别严重，造成竞赛中止的，经裁判长确认，终止比赛，并取消比赛资格和竞赛成绩。</w:t>
      </w:r>
    </w:p>
    <w:p>
      <w:pPr>
        <w:adjustRightInd w:val="0"/>
        <w:snapToGrid w:val="0"/>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（2）竞赛过程中，由于选手技能不熟练或疏忽大意造成计算机、仪器设备及工具等严重损坏，由裁判组裁定其竞赛结束，保留竞赛资格，累计其有效竞赛成绩。</w:t>
      </w:r>
    </w:p>
    <w:p>
      <w:pPr>
        <w:adjustRightInd w:val="0"/>
        <w:snapToGrid w:val="0"/>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（3）竞赛过程中，产生重大安全事故、或有产生重大安全事故隐患，经裁判员提示没有采取措施的，裁判员可暂停其竞赛，由裁判组裁定其竞赛结束，保留竞赛资格和有效竞赛成绩。</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（二）指导教师须知</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1.各参赛代表队要发扬良好道德风尚，听从指挥，服从裁判，不弄虚作假。如发现弄虚作假者，取消参赛资格，名次无效。</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2.各代表队领队要坚决执行竞赛的各项规定，加强对参赛人员的管理，做好赛前准备工作，督促选手带好证件等竞赛相关材料。</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3.竞赛过程中，除参加当场次竞赛的选手、执行裁判员、现场工作人员和经批准的人员外，领队、指导教师及其他人员一律不得进入竞赛现场。</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4.参赛代表队若对竞赛过程有异议，在规定的时间内由领队向赛项仲裁工作组提出书面报告。</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5.对申诉的仲裁结果，领队要带头服从和执行，并做好选手工作。</w:t>
      </w:r>
    </w:p>
    <w:p>
      <w:pPr>
        <w:pStyle w:val="18"/>
        <w:adjustRightInd w:val="0"/>
        <w:snapToGrid w:val="0"/>
        <w:spacing w:beforeLines="0" w:afterLines="0" w:line="560" w:lineRule="exact"/>
        <w:ind w:firstLine="560"/>
        <w:rPr>
          <w:rFonts w:ascii="仿宋" w:hAnsi="仿宋" w:eastAsia="仿宋" w:cs="仿宋_GB2312"/>
          <w:color w:val="000000"/>
          <w:szCs w:val="28"/>
        </w:rPr>
      </w:pPr>
      <w:r>
        <w:rPr>
          <w:rFonts w:hint="eastAsia" w:ascii="仿宋" w:hAnsi="仿宋" w:eastAsia="仿宋" w:cs="仿宋_GB2312"/>
          <w:color w:val="000000"/>
          <w:szCs w:val="28"/>
        </w:rPr>
        <w:t>6.指导老师应及时查看大赛专用网页有关赛项的通知和内容，认真研究和掌握本赛项竞赛的规程、技术规范和赛场要求，指导选手做好赛前的一切技术准备和竞赛准备。</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（三）参赛队选手须知</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1.参赛队选手严格遵守赛场规章、操作规程和工艺准则，保证人身及设备安全，接受裁判员的监督和警示，文明竞赛。</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w:t>
      </w:r>
      <w:r>
        <w:rPr>
          <w:rFonts w:hint="eastAsia" w:ascii="仿宋" w:hAnsi="仿宋" w:eastAsia="仿宋" w:cs="仿宋_GB2312"/>
          <w:sz w:val="28"/>
          <w:szCs w:val="28"/>
        </w:rPr>
        <w:t xml:space="preserve"> </w:t>
      </w:r>
      <w:r>
        <w:rPr>
          <w:rFonts w:hint="eastAsia" w:ascii="仿宋" w:hAnsi="仿宋" w:eastAsia="仿宋" w:cs="仿宋_GB2312"/>
          <w:color w:val="000000"/>
          <w:sz w:val="28"/>
          <w:szCs w:val="28"/>
        </w:rPr>
        <w:t>参赛选手需同时携带身份证、学生证、参赛证入场，进行检录，抽取顺序号后，须将所有证件交给指导教师，不得带入赛场。3.参赛选手进入赛场，不许携带任何书籍和其他纸质资料（相关技术资料的电子文档由赛项执委会提供），不许携带通信工具和存储介质（如U盘），不许携带任何检测设备和工具。</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4.参赛队选手应在规定的时间段进入赛场熟悉环境，入场后，赛场工作人员与参赛选手共同确认操作条件及设备状况。</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5.竞赛时，在收到开赛信号前不得启动操作，参赛队选手按竞赛要求自行决定工作程序和时间安排，在指定赛位上完成竞赛项目，严禁作弊行为。</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6.竞赛过程中，因严重操作失误或安全事故不能进行比赛的（例如因操作原因发生短路导致赛场断电的、造成设备不能正常工作的），现场裁判员有权终止该队比赛。</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7.竞赛期间，参赛队选手连续工作，饮水由赛场统一提供，且休息、饮水和如厕时间均计算在比赛时间内。</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8.凡在竞赛期间内提前离开的参赛队选手，不得返回赛场。参赛队选手进出赛场不得携带任何与竞赛有关的物品。</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9.在参赛期间，选手应注意保持工作环境及设备摆放符合生产操作规程。</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10.在竞赛中如遇非人为因素造成的设备故障，经裁判确认后，可向裁判长申请补足排除故障的时间。</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11.结束比赛后，选手不得再进行任何与比赛有关的操作。须根据现场裁判的指示进行板卡维修结果以及竞赛报告单的提交，在与现场裁判一起签字确认后方可离开赛位。</w:t>
      </w:r>
    </w:p>
    <w:p>
      <w:pPr>
        <w:adjustRightInd w:val="0"/>
        <w:snapToGrid w:val="0"/>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12.因保密要求，各参赛队选手需按照大赛要求和赛题要求提交竞赛成果，且提交的任何文件中不得出现单位名称、参赛者姓名、与竞赛无关的记号等违规信息，否则按照作弊处理。</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（四）工作人员须知</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1.赛场工作人员由赛项执委会统一聘用并进行工作分工。</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2.赛场工作人员需服从赛项执委会的管理，严格执行赛项执委会制订的各项比赛规则，执行赛项执委会的工作安排，为赛场提供有序的服务。</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3.赛场工作人员要积极维护好赛场秩序，以利于参赛选手正常发挥水平。</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4.赛场工作人员要坚守岗位，不得擅离职守。</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5.赛场工作人员在比赛中不回答选手提出的任何有关比赛技术问题，如遇争议问题，需上报执委会。</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6.工作人员要着赛项执委会统一提供的服装并佩戴胸卡。</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十五、申诉与仲裁</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本赛项在比赛过程中若出现有失公正或有关人员违规等现象，参赛队领队可在比赛结束后2小时之内向仲裁组提出书面申诉。</w:t>
      </w:r>
    </w:p>
    <w:p>
      <w:pPr>
        <w:spacing w:line="560" w:lineRule="exact"/>
        <w:ind w:firstLine="560" w:firstLineChars="200"/>
        <w:rPr>
          <w:rFonts w:ascii="仿宋" w:hAnsi="仿宋" w:eastAsia="仿宋" w:cs="仿宋_GB2312"/>
          <w:color w:val="000000"/>
          <w:sz w:val="28"/>
          <w:szCs w:val="28"/>
        </w:rPr>
      </w:pPr>
      <w:r>
        <w:rPr>
          <w:rFonts w:hint="eastAsia" w:ascii="仿宋" w:hAnsi="仿宋" w:eastAsia="仿宋" w:cs="仿宋_GB2312"/>
          <w:color w:val="000000"/>
          <w:sz w:val="28"/>
          <w:szCs w:val="28"/>
        </w:rPr>
        <w:t xml:space="preserve">书面申诉应对申诉事件的现象、发生时间、涉及人员、申诉依据等进行充分、实事求是的叙述，并由领队亲笔签名。非书面申诉不予受理。 </w:t>
      </w:r>
    </w:p>
    <w:p>
      <w:pPr>
        <w:spacing w:line="560" w:lineRule="exact"/>
        <w:ind w:firstLine="560" w:firstLineChars="200"/>
        <w:rPr>
          <w:rFonts w:ascii="仿宋" w:hAnsi="仿宋" w:eastAsia="仿宋" w:cs="仿宋_GB2312"/>
          <w:sz w:val="28"/>
          <w:szCs w:val="28"/>
        </w:rPr>
      </w:pPr>
      <w:r>
        <w:rPr>
          <w:rFonts w:hint="eastAsia" w:ascii="仿宋" w:hAnsi="仿宋" w:eastAsia="仿宋" w:cs="仿宋_GB2312"/>
          <w:color w:val="000000"/>
          <w:sz w:val="28"/>
          <w:szCs w:val="28"/>
        </w:rPr>
        <w:t>赛项仲裁工作组在接到申诉报告后的2小时内组织复议，并及时将复议结果以书面形式告知申诉方。申诉方对复议结果仍有异议，可由省（市）领队向赛区仲裁委员会提出申诉。赛区仲裁委员会的仲裁结果为最终结果。</w:t>
      </w:r>
    </w:p>
    <w:p>
      <w:pPr>
        <w:pStyle w:val="2"/>
        <w:keepNext w:val="0"/>
        <w:keepLines w:val="0"/>
        <w:adjustRightInd w:val="0"/>
        <w:snapToGrid w:val="0"/>
        <w:spacing w:before="0" w:after="0" w:line="560" w:lineRule="exact"/>
        <w:rPr>
          <w:rFonts w:ascii="仿宋" w:hAnsi="仿宋" w:eastAsia="仿宋" w:cs="仿宋_GB2312"/>
          <w:bCs w:val="0"/>
          <w:color w:val="000000"/>
          <w:kern w:val="0"/>
          <w:sz w:val="28"/>
          <w:szCs w:val="28"/>
        </w:rPr>
      </w:pPr>
      <w:r>
        <w:rPr>
          <w:rFonts w:hint="eastAsia" w:ascii="仿宋" w:hAnsi="仿宋" w:eastAsia="仿宋" w:cs="仿宋_GB2312"/>
          <w:bCs w:val="0"/>
          <w:color w:val="000000"/>
          <w:kern w:val="0"/>
          <w:sz w:val="28"/>
          <w:szCs w:val="28"/>
        </w:rPr>
        <w:t xml:space="preserve">    十六、竞赛观摩</w:t>
      </w:r>
    </w:p>
    <w:p>
      <w:pPr>
        <w:snapToGrid w:val="0"/>
        <w:spacing w:line="560" w:lineRule="exact"/>
        <w:ind w:firstLine="560" w:firstLineChars="20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竞赛期间设置相关技术展示角，展示职业教育教学改革成果；</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（一）观摩对象</w:t>
      </w:r>
    </w:p>
    <w:p>
      <w:pPr>
        <w:snapToGrid w:val="0"/>
        <w:spacing w:line="560" w:lineRule="exact"/>
        <w:ind w:firstLine="560" w:firstLineChars="20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与赛项相关的企业、单位、学院、行业协会等专家、技术人员、指导教师等。</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（二）观摩方法</w:t>
      </w:r>
    </w:p>
    <w:p>
      <w:pPr>
        <w:snapToGrid w:val="0"/>
        <w:spacing w:line="560" w:lineRule="exact"/>
        <w:ind w:firstLine="560" w:firstLineChars="20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观摩人员可在规定时间，以小组为单位，在赛场引导员的引导下，有序进入赛场观摩。</w:t>
      </w:r>
    </w:p>
    <w:p>
      <w:pPr>
        <w:spacing w:line="560" w:lineRule="exact"/>
        <w:ind w:firstLine="420" w:firstLineChars="150"/>
        <w:rPr>
          <w:rFonts w:ascii="仿宋" w:hAnsi="仿宋" w:eastAsia="仿宋" w:cs="仿宋_GB2312"/>
          <w:color w:val="000000"/>
          <w:sz w:val="28"/>
          <w:szCs w:val="28"/>
        </w:rPr>
      </w:pPr>
      <w:r>
        <w:rPr>
          <w:rFonts w:hint="eastAsia" w:ascii="仿宋" w:hAnsi="仿宋" w:eastAsia="仿宋" w:cs="仿宋_GB2312"/>
          <w:color w:val="000000"/>
          <w:sz w:val="28"/>
          <w:szCs w:val="28"/>
        </w:rPr>
        <w:t>（三）观摩纪律</w:t>
      </w:r>
    </w:p>
    <w:p>
      <w:pPr>
        <w:snapToGrid w:val="0"/>
        <w:spacing w:line="560" w:lineRule="exact"/>
        <w:ind w:firstLine="700" w:firstLineChars="25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1</w:t>
      </w:r>
      <w:r>
        <w:rPr>
          <w:rFonts w:hint="eastAsia" w:ascii="仿宋" w:hAnsi="仿宋" w:eastAsia="仿宋" w:cs="仿宋_GB2312"/>
          <w:color w:val="000000"/>
          <w:sz w:val="28"/>
          <w:szCs w:val="28"/>
        </w:rPr>
        <w:t>.</w:t>
      </w:r>
      <w:r>
        <w:rPr>
          <w:rFonts w:hint="eastAsia" w:ascii="仿宋" w:hAnsi="仿宋" w:eastAsia="仿宋" w:cs="仿宋_GB2312"/>
          <w:color w:val="000000"/>
          <w:sz w:val="28"/>
          <w:szCs w:val="28"/>
          <w:lang w:val="zh-CN"/>
        </w:rPr>
        <w:t>观摩人员必须佩带观摩证。</w:t>
      </w:r>
    </w:p>
    <w:p>
      <w:pPr>
        <w:snapToGrid w:val="0"/>
        <w:spacing w:line="560" w:lineRule="exact"/>
        <w:ind w:firstLine="700" w:firstLineChars="25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2</w:t>
      </w:r>
      <w:r>
        <w:rPr>
          <w:rFonts w:hint="eastAsia" w:ascii="仿宋" w:hAnsi="仿宋" w:eastAsia="仿宋" w:cs="仿宋_GB2312"/>
          <w:color w:val="000000"/>
          <w:sz w:val="28"/>
          <w:szCs w:val="28"/>
        </w:rPr>
        <w:t>.</w:t>
      </w:r>
      <w:r>
        <w:rPr>
          <w:rFonts w:hint="eastAsia" w:ascii="仿宋" w:hAnsi="仿宋" w:eastAsia="仿宋" w:cs="仿宋_GB2312"/>
          <w:color w:val="000000"/>
          <w:sz w:val="28"/>
          <w:szCs w:val="28"/>
          <w:lang w:val="zh-CN"/>
        </w:rPr>
        <w:t>观摩时不得议论、交谈，并严禁与选手进行交流。</w:t>
      </w:r>
    </w:p>
    <w:p>
      <w:pPr>
        <w:snapToGrid w:val="0"/>
        <w:spacing w:line="560" w:lineRule="exact"/>
        <w:ind w:firstLine="700" w:firstLineChars="25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3</w:t>
      </w:r>
      <w:r>
        <w:rPr>
          <w:rFonts w:hint="eastAsia" w:ascii="仿宋" w:hAnsi="仿宋" w:eastAsia="仿宋" w:cs="仿宋_GB2312"/>
          <w:color w:val="000000"/>
          <w:sz w:val="28"/>
          <w:szCs w:val="28"/>
        </w:rPr>
        <w:t>.</w:t>
      </w:r>
      <w:r>
        <w:rPr>
          <w:rFonts w:hint="eastAsia" w:ascii="仿宋" w:hAnsi="仿宋" w:eastAsia="仿宋" w:cs="仿宋_GB2312"/>
          <w:color w:val="000000"/>
          <w:sz w:val="28"/>
          <w:szCs w:val="28"/>
          <w:lang w:val="zh-CN"/>
        </w:rPr>
        <w:t>观摩时不得在赛位前停留，以免影响考生比赛。</w:t>
      </w:r>
    </w:p>
    <w:p>
      <w:pPr>
        <w:snapToGrid w:val="0"/>
        <w:spacing w:line="560" w:lineRule="exact"/>
        <w:ind w:firstLine="700" w:firstLineChars="25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4</w:t>
      </w:r>
      <w:r>
        <w:rPr>
          <w:rFonts w:hint="eastAsia" w:ascii="仿宋" w:hAnsi="仿宋" w:eastAsia="仿宋" w:cs="仿宋_GB2312"/>
          <w:color w:val="000000"/>
          <w:sz w:val="28"/>
          <w:szCs w:val="28"/>
        </w:rPr>
        <w:t>.</w:t>
      </w:r>
      <w:r>
        <w:rPr>
          <w:rFonts w:hint="eastAsia" w:ascii="仿宋" w:hAnsi="仿宋" w:eastAsia="仿宋" w:cs="仿宋_GB2312"/>
          <w:color w:val="000000"/>
          <w:sz w:val="28"/>
          <w:szCs w:val="28"/>
          <w:lang w:val="zh-CN"/>
        </w:rPr>
        <w:t>观摩时不准向场内裁判及工作人员提问。</w:t>
      </w:r>
    </w:p>
    <w:p>
      <w:pPr>
        <w:snapToGrid w:val="0"/>
        <w:spacing w:line="560" w:lineRule="exact"/>
        <w:ind w:firstLine="700" w:firstLineChars="250"/>
        <w:rPr>
          <w:rFonts w:ascii="仿宋" w:hAnsi="仿宋" w:eastAsia="仿宋" w:cs="仿宋_GB2312"/>
          <w:color w:val="000000"/>
          <w:sz w:val="28"/>
          <w:szCs w:val="28"/>
          <w:lang w:val="zh-CN"/>
        </w:rPr>
      </w:pPr>
      <w:r>
        <w:rPr>
          <w:rFonts w:hint="eastAsia" w:ascii="仿宋" w:hAnsi="仿宋" w:eastAsia="仿宋" w:cs="仿宋_GB2312"/>
          <w:color w:val="000000"/>
          <w:sz w:val="28"/>
          <w:szCs w:val="28"/>
          <w:lang w:val="zh-CN"/>
        </w:rPr>
        <w:t>5</w:t>
      </w:r>
      <w:r>
        <w:rPr>
          <w:rFonts w:hint="eastAsia" w:ascii="仿宋" w:hAnsi="仿宋" w:eastAsia="仿宋" w:cs="仿宋_GB2312"/>
          <w:color w:val="000000"/>
          <w:sz w:val="28"/>
          <w:szCs w:val="28"/>
        </w:rPr>
        <w:t>.</w:t>
      </w:r>
      <w:r>
        <w:rPr>
          <w:rFonts w:hint="eastAsia" w:ascii="仿宋" w:hAnsi="仿宋" w:eastAsia="仿宋" w:cs="仿宋_GB2312"/>
          <w:color w:val="000000"/>
          <w:sz w:val="28"/>
          <w:szCs w:val="28"/>
          <w:lang w:val="zh-CN"/>
        </w:rPr>
        <w:t>观摩时禁止拍照。</w:t>
      </w:r>
    </w:p>
    <w:p>
      <w:pPr>
        <w:snapToGrid w:val="0"/>
        <w:spacing w:line="560" w:lineRule="exact"/>
        <w:ind w:firstLine="700" w:firstLineChars="250"/>
        <w:rPr>
          <w:rFonts w:ascii="仿宋" w:hAnsi="仿宋" w:eastAsia="仿宋" w:cs="仿宋_GB2312"/>
          <w:sz w:val="28"/>
          <w:szCs w:val="28"/>
        </w:rPr>
      </w:pPr>
      <w:r>
        <w:rPr>
          <w:rFonts w:hint="eastAsia" w:ascii="仿宋" w:hAnsi="仿宋" w:eastAsia="仿宋" w:cs="仿宋_GB2312"/>
          <w:color w:val="000000"/>
          <w:sz w:val="28"/>
          <w:szCs w:val="28"/>
          <w:lang w:val="zh-CN"/>
        </w:rPr>
        <w:t>6.凡违反以上规定者，立即取消观摩资格。</w:t>
      </w:r>
    </w:p>
    <w:p>
      <w:pPr>
        <w:pStyle w:val="2"/>
        <w:keepNext w:val="0"/>
        <w:keepLines w:val="0"/>
        <w:adjustRightInd w:val="0"/>
        <w:snapToGrid w:val="0"/>
        <w:spacing w:before="0" w:after="0" w:line="560" w:lineRule="exact"/>
        <w:rPr>
          <w:rFonts w:ascii="仿宋" w:hAnsi="仿宋" w:eastAsia="仿宋" w:cs="仿宋_GB2312"/>
          <w:color w:val="000000"/>
          <w:sz w:val="28"/>
          <w:szCs w:val="28"/>
        </w:rPr>
      </w:pPr>
      <w:r>
        <w:rPr>
          <w:rFonts w:hint="eastAsia" w:ascii="仿宋" w:hAnsi="仿宋" w:eastAsia="仿宋" w:cs="仿宋_GB2312"/>
          <w:bCs w:val="0"/>
          <w:color w:val="000000"/>
          <w:kern w:val="0"/>
          <w:sz w:val="28"/>
          <w:szCs w:val="28"/>
        </w:rPr>
        <w:t xml:space="preserve">    </w:t>
      </w:r>
    </w:p>
    <w:p>
      <w:pPr>
        <w:pStyle w:val="2"/>
        <w:keepNext w:val="0"/>
        <w:keepLines w:val="0"/>
        <w:adjustRightInd w:val="0"/>
        <w:snapToGrid w:val="0"/>
        <w:spacing w:before="0" w:after="0" w:line="560" w:lineRule="exact"/>
        <w:rPr>
          <w:rFonts w:ascii="仿宋" w:hAnsi="仿宋" w:eastAsia="仿宋" w:cs="仿宋_GB2312"/>
          <w:color w:val="000000"/>
          <w:sz w:val="28"/>
          <w:szCs w:val="28"/>
        </w:rPr>
      </w:pPr>
      <w:r>
        <w:rPr>
          <w:rFonts w:hint="eastAsia" w:ascii="仿宋" w:hAnsi="仿宋" w:eastAsia="仿宋" w:cs="仿宋_GB2312"/>
          <w:bCs w:val="0"/>
          <w:color w:val="000000"/>
          <w:kern w:val="0"/>
          <w:sz w:val="28"/>
          <w:szCs w:val="28"/>
        </w:rPr>
        <w:t xml:space="preserve">  </w:t>
      </w:r>
    </w:p>
    <w:sectPr>
      <w:headerReference r:id="rId3" w:type="default"/>
      <w:pgSz w:w="11906" w:h="16838"/>
      <w:pgMar w:top="1440" w:right="1230" w:bottom="1440" w:left="1230"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86"/>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OEEEEV+FZHTJW--GB1-0">
    <w:altName w:val="宋体"/>
    <w:panose1 w:val="00000000000000000000"/>
    <w:charset w:val="86"/>
    <w:family w:val="swiss"/>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C833D5"/>
    <w:multiLevelType w:val="multilevel"/>
    <w:tmpl w:val="37C833D5"/>
    <w:lvl w:ilvl="0" w:tentative="0">
      <w:start w:val="1"/>
      <w:numFmt w:val="decimal"/>
      <w:lvlText w:val="%1."/>
      <w:lvlJc w:val="left"/>
      <w:pPr>
        <w:ind w:left="840" w:hanging="420"/>
      </w:pPr>
      <w:rPr>
        <w:rFonts w:hint="eastAsia" w:cs="Times New Roman"/>
        <w:sz w:val="28"/>
      </w:rPr>
    </w:lvl>
    <w:lvl w:ilvl="1" w:tentative="0">
      <w:start w:val="1"/>
      <w:numFmt w:val="lowerLetter"/>
      <w:lvlText w:val="%2)"/>
      <w:lvlJc w:val="left"/>
      <w:pPr>
        <w:ind w:left="1260" w:hanging="420"/>
      </w:pPr>
      <w:rPr>
        <w:rFonts w:cs="Times New Roman"/>
      </w:rPr>
    </w:lvl>
    <w:lvl w:ilvl="2" w:tentative="0">
      <w:start w:val="1"/>
      <w:numFmt w:val="lowerRoman"/>
      <w:lvlText w:val="%3."/>
      <w:lvlJc w:val="right"/>
      <w:pPr>
        <w:ind w:left="1680" w:hanging="420"/>
      </w:pPr>
      <w:rPr>
        <w:rFonts w:cs="Times New Roman"/>
      </w:rPr>
    </w:lvl>
    <w:lvl w:ilvl="3" w:tentative="0">
      <w:start w:val="1"/>
      <w:numFmt w:val="decimal"/>
      <w:lvlText w:val="%4."/>
      <w:lvlJc w:val="left"/>
      <w:pPr>
        <w:ind w:left="2100" w:hanging="420"/>
      </w:pPr>
      <w:rPr>
        <w:rFonts w:cs="Times New Roman"/>
      </w:rPr>
    </w:lvl>
    <w:lvl w:ilvl="4" w:tentative="0">
      <w:start w:val="1"/>
      <w:numFmt w:val="lowerLetter"/>
      <w:lvlText w:val="%5)"/>
      <w:lvlJc w:val="left"/>
      <w:pPr>
        <w:ind w:left="2520" w:hanging="420"/>
      </w:pPr>
      <w:rPr>
        <w:rFonts w:cs="Times New Roman"/>
      </w:rPr>
    </w:lvl>
    <w:lvl w:ilvl="5" w:tentative="0">
      <w:start w:val="1"/>
      <w:numFmt w:val="lowerRoman"/>
      <w:lvlText w:val="%6."/>
      <w:lvlJc w:val="right"/>
      <w:pPr>
        <w:ind w:left="2940" w:hanging="420"/>
      </w:pPr>
      <w:rPr>
        <w:rFonts w:cs="Times New Roman"/>
      </w:rPr>
    </w:lvl>
    <w:lvl w:ilvl="6" w:tentative="0">
      <w:start w:val="1"/>
      <w:numFmt w:val="decimal"/>
      <w:lvlText w:val="%7."/>
      <w:lvlJc w:val="left"/>
      <w:pPr>
        <w:ind w:left="3360" w:hanging="420"/>
      </w:pPr>
      <w:rPr>
        <w:rFonts w:cs="Times New Roman"/>
      </w:rPr>
    </w:lvl>
    <w:lvl w:ilvl="7" w:tentative="0">
      <w:start w:val="1"/>
      <w:numFmt w:val="lowerLetter"/>
      <w:lvlText w:val="%8)"/>
      <w:lvlJc w:val="left"/>
      <w:pPr>
        <w:ind w:left="3780" w:hanging="420"/>
      </w:pPr>
      <w:rPr>
        <w:rFonts w:cs="Times New Roman"/>
      </w:rPr>
    </w:lvl>
    <w:lvl w:ilvl="8" w:tentative="0">
      <w:start w:val="1"/>
      <w:numFmt w:val="lowerRoman"/>
      <w:lvlText w:val="%9."/>
      <w:lvlJc w:val="right"/>
      <w:pPr>
        <w:ind w:left="4200" w:hanging="420"/>
      </w:pPr>
      <w:rPr>
        <w:rFonts w:cs="Times New Roman"/>
      </w:rPr>
    </w:lvl>
  </w:abstractNum>
  <w:abstractNum w:abstractNumId="1">
    <w:nsid w:val="3C9610AF"/>
    <w:multiLevelType w:val="multilevel"/>
    <w:tmpl w:val="3C9610AF"/>
    <w:lvl w:ilvl="0" w:tentative="0">
      <w:start w:val="1"/>
      <w:numFmt w:val="decimal"/>
      <w:lvlText w:val="%1."/>
      <w:lvlJc w:val="left"/>
      <w:pPr>
        <w:ind w:left="840" w:hanging="420"/>
      </w:pPr>
      <w:rPr>
        <w:rFonts w:hint="eastAsia" w:cs="Times New Roman"/>
        <w:sz w:val="28"/>
      </w:rPr>
    </w:lvl>
    <w:lvl w:ilvl="1" w:tentative="0">
      <w:start w:val="1"/>
      <w:numFmt w:val="lowerLetter"/>
      <w:lvlText w:val="%2)"/>
      <w:lvlJc w:val="left"/>
      <w:pPr>
        <w:ind w:left="1260" w:hanging="420"/>
      </w:pPr>
      <w:rPr>
        <w:rFonts w:cs="Times New Roman"/>
      </w:rPr>
    </w:lvl>
    <w:lvl w:ilvl="2" w:tentative="0">
      <w:start w:val="1"/>
      <w:numFmt w:val="lowerRoman"/>
      <w:lvlText w:val="%3."/>
      <w:lvlJc w:val="right"/>
      <w:pPr>
        <w:ind w:left="1680" w:hanging="420"/>
      </w:pPr>
      <w:rPr>
        <w:rFonts w:cs="Times New Roman"/>
      </w:rPr>
    </w:lvl>
    <w:lvl w:ilvl="3" w:tentative="0">
      <w:start w:val="1"/>
      <w:numFmt w:val="decimal"/>
      <w:lvlText w:val="%4."/>
      <w:lvlJc w:val="left"/>
      <w:pPr>
        <w:ind w:left="2100" w:hanging="420"/>
      </w:pPr>
      <w:rPr>
        <w:rFonts w:cs="Times New Roman"/>
      </w:rPr>
    </w:lvl>
    <w:lvl w:ilvl="4" w:tentative="0">
      <w:start w:val="1"/>
      <w:numFmt w:val="lowerLetter"/>
      <w:lvlText w:val="%5)"/>
      <w:lvlJc w:val="left"/>
      <w:pPr>
        <w:ind w:left="2520" w:hanging="420"/>
      </w:pPr>
      <w:rPr>
        <w:rFonts w:cs="Times New Roman"/>
      </w:rPr>
    </w:lvl>
    <w:lvl w:ilvl="5" w:tentative="0">
      <w:start w:val="1"/>
      <w:numFmt w:val="lowerRoman"/>
      <w:lvlText w:val="%6."/>
      <w:lvlJc w:val="right"/>
      <w:pPr>
        <w:ind w:left="2940" w:hanging="420"/>
      </w:pPr>
      <w:rPr>
        <w:rFonts w:cs="Times New Roman"/>
      </w:rPr>
    </w:lvl>
    <w:lvl w:ilvl="6" w:tentative="0">
      <w:start w:val="1"/>
      <w:numFmt w:val="decimal"/>
      <w:lvlText w:val="%7."/>
      <w:lvlJc w:val="left"/>
      <w:pPr>
        <w:ind w:left="3360" w:hanging="420"/>
      </w:pPr>
      <w:rPr>
        <w:rFonts w:cs="Times New Roman"/>
      </w:rPr>
    </w:lvl>
    <w:lvl w:ilvl="7" w:tentative="0">
      <w:start w:val="1"/>
      <w:numFmt w:val="lowerLetter"/>
      <w:lvlText w:val="%8)"/>
      <w:lvlJc w:val="left"/>
      <w:pPr>
        <w:ind w:left="3780" w:hanging="420"/>
      </w:pPr>
      <w:rPr>
        <w:rFonts w:cs="Times New Roman"/>
      </w:rPr>
    </w:lvl>
    <w:lvl w:ilvl="8" w:tentative="0">
      <w:start w:val="1"/>
      <w:numFmt w:val="lowerRoman"/>
      <w:lvlText w:val="%9."/>
      <w:lvlJc w:val="right"/>
      <w:pPr>
        <w:ind w:left="4200" w:hanging="42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679"/>
    <w:rsid w:val="00000D08"/>
    <w:rsid w:val="00022228"/>
    <w:rsid w:val="00053990"/>
    <w:rsid w:val="00061656"/>
    <w:rsid w:val="0006313C"/>
    <w:rsid w:val="00075A15"/>
    <w:rsid w:val="000A4A57"/>
    <w:rsid w:val="00162C30"/>
    <w:rsid w:val="00183865"/>
    <w:rsid w:val="00217060"/>
    <w:rsid w:val="002368C1"/>
    <w:rsid w:val="00237E55"/>
    <w:rsid w:val="00263B07"/>
    <w:rsid w:val="002A3FE9"/>
    <w:rsid w:val="002C1106"/>
    <w:rsid w:val="002C39B2"/>
    <w:rsid w:val="002C756C"/>
    <w:rsid w:val="00311D86"/>
    <w:rsid w:val="00351498"/>
    <w:rsid w:val="00372284"/>
    <w:rsid w:val="003805DE"/>
    <w:rsid w:val="003A68BC"/>
    <w:rsid w:val="003B5C6C"/>
    <w:rsid w:val="003D12D0"/>
    <w:rsid w:val="003D4BD0"/>
    <w:rsid w:val="003E4879"/>
    <w:rsid w:val="003E6B66"/>
    <w:rsid w:val="00415DCB"/>
    <w:rsid w:val="00420718"/>
    <w:rsid w:val="00423FCC"/>
    <w:rsid w:val="00425C7D"/>
    <w:rsid w:val="00430980"/>
    <w:rsid w:val="00437297"/>
    <w:rsid w:val="00444279"/>
    <w:rsid w:val="00450313"/>
    <w:rsid w:val="004605A8"/>
    <w:rsid w:val="00472EA0"/>
    <w:rsid w:val="004D15E0"/>
    <w:rsid w:val="004E7C86"/>
    <w:rsid w:val="004F4522"/>
    <w:rsid w:val="00544C42"/>
    <w:rsid w:val="00561FF7"/>
    <w:rsid w:val="0056680F"/>
    <w:rsid w:val="00592BED"/>
    <w:rsid w:val="005C7212"/>
    <w:rsid w:val="005D070B"/>
    <w:rsid w:val="005E7679"/>
    <w:rsid w:val="005F58C0"/>
    <w:rsid w:val="00634597"/>
    <w:rsid w:val="00652E74"/>
    <w:rsid w:val="00681EFC"/>
    <w:rsid w:val="006C608D"/>
    <w:rsid w:val="006D7822"/>
    <w:rsid w:val="006E0BDD"/>
    <w:rsid w:val="00712354"/>
    <w:rsid w:val="00725ACF"/>
    <w:rsid w:val="0074236B"/>
    <w:rsid w:val="00746625"/>
    <w:rsid w:val="00761C6E"/>
    <w:rsid w:val="007670AE"/>
    <w:rsid w:val="00785D01"/>
    <w:rsid w:val="00790759"/>
    <w:rsid w:val="007A33BD"/>
    <w:rsid w:val="007E0A2B"/>
    <w:rsid w:val="007E75B9"/>
    <w:rsid w:val="00811A3C"/>
    <w:rsid w:val="00813492"/>
    <w:rsid w:val="008560BB"/>
    <w:rsid w:val="00877006"/>
    <w:rsid w:val="00886B74"/>
    <w:rsid w:val="008B3EA8"/>
    <w:rsid w:val="008C6C55"/>
    <w:rsid w:val="008C6F2E"/>
    <w:rsid w:val="008E2FE9"/>
    <w:rsid w:val="0091422E"/>
    <w:rsid w:val="00920FDB"/>
    <w:rsid w:val="00925F08"/>
    <w:rsid w:val="00926E24"/>
    <w:rsid w:val="00934564"/>
    <w:rsid w:val="00957171"/>
    <w:rsid w:val="00965579"/>
    <w:rsid w:val="00972B05"/>
    <w:rsid w:val="009933F5"/>
    <w:rsid w:val="00A24349"/>
    <w:rsid w:val="00A50D00"/>
    <w:rsid w:val="00A52C41"/>
    <w:rsid w:val="00A6037B"/>
    <w:rsid w:val="00A812D0"/>
    <w:rsid w:val="00AA54D1"/>
    <w:rsid w:val="00AB329A"/>
    <w:rsid w:val="00AB4B48"/>
    <w:rsid w:val="00AC61D2"/>
    <w:rsid w:val="00AF7A2B"/>
    <w:rsid w:val="00B40B1A"/>
    <w:rsid w:val="00B52DA4"/>
    <w:rsid w:val="00B533D7"/>
    <w:rsid w:val="00B749AA"/>
    <w:rsid w:val="00BA12D9"/>
    <w:rsid w:val="00BB657E"/>
    <w:rsid w:val="00BF0EE3"/>
    <w:rsid w:val="00C00052"/>
    <w:rsid w:val="00C07691"/>
    <w:rsid w:val="00C41CCD"/>
    <w:rsid w:val="00C5373D"/>
    <w:rsid w:val="00C60820"/>
    <w:rsid w:val="00C74C09"/>
    <w:rsid w:val="00C80DE8"/>
    <w:rsid w:val="00CB07EA"/>
    <w:rsid w:val="00CF0FC9"/>
    <w:rsid w:val="00CF4B55"/>
    <w:rsid w:val="00CF5FA7"/>
    <w:rsid w:val="00D00317"/>
    <w:rsid w:val="00D31844"/>
    <w:rsid w:val="00D37044"/>
    <w:rsid w:val="00D73FF2"/>
    <w:rsid w:val="00D8154F"/>
    <w:rsid w:val="00DB335C"/>
    <w:rsid w:val="00DC4924"/>
    <w:rsid w:val="00DD41AD"/>
    <w:rsid w:val="00E139CF"/>
    <w:rsid w:val="00E5664F"/>
    <w:rsid w:val="00E56B6A"/>
    <w:rsid w:val="00E57E3A"/>
    <w:rsid w:val="00E61F2C"/>
    <w:rsid w:val="00E636F3"/>
    <w:rsid w:val="00E91373"/>
    <w:rsid w:val="00EB3895"/>
    <w:rsid w:val="00EE4E8C"/>
    <w:rsid w:val="00F00F5D"/>
    <w:rsid w:val="00F24D6C"/>
    <w:rsid w:val="00F35CC4"/>
    <w:rsid w:val="00F555CC"/>
    <w:rsid w:val="00F8578C"/>
    <w:rsid w:val="00FA2E05"/>
    <w:rsid w:val="00FB5FC1"/>
    <w:rsid w:val="00FD522C"/>
    <w:rsid w:val="0852056B"/>
    <w:rsid w:val="35EA7587"/>
    <w:rsid w:val="3C5623F5"/>
    <w:rsid w:val="650556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39" w:semiHidden="0" w:name="toc 1"/>
    <w:lsdException w:uiPriority="39" w:name="toc 2"/>
    <w:lsdException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link w:val="15"/>
    <w:qFormat/>
    <w:uiPriority w:val="9"/>
    <w:pPr>
      <w:keepNext/>
      <w:keepLines/>
      <w:spacing w:before="260" w:after="260" w:line="413" w:lineRule="auto"/>
      <w:outlineLvl w:val="2"/>
    </w:pPr>
    <w:rPr>
      <w:b/>
      <w:bCs/>
      <w:sz w:val="32"/>
      <w:szCs w:val="32"/>
    </w:rPr>
  </w:style>
  <w:style w:type="character" w:default="1" w:styleId="11">
    <w:name w:val="Default Paragraph Font"/>
    <w:semiHidden/>
    <w:unhideWhenUsed/>
    <w:uiPriority w:val="1"/>
  </w:style>
  <w:style w:type="table" w:default="1" w:styleId="10">
    <w:name w:val="Normal Table"/>
    <w:semiHidden/>
    <w:unhideWhenUsed/>
    <w:qFormat/>
    <w:uiPriority w:val="99"/>
    <w:tblPr>
      <w:tblLayout w:type="fixed"/>
      <w:tblCellMar>
        <w:top w:w="0" w:type="dxa"/>
        <w:left w:w="108" w:type="dxa"/>
        <w:bottom w:w="0" w:type="dxa"/>
        <w:right w:w="108" w:type="dxa"/>
      </w:tblCellMar>
    </w:tblPr>
  </w:style>
  <w:style w:type="paragraph" w:styleId="3">
    <w:name w:val="annotation text"/>
    <w:basedOn w:val="1"/>
    <w:link w:val="22"/>
    <w:unhideWhenUsed/>
    <w:qFormat/>
    <w:uiPriority w:val="99"/>
    <w:pPr>
      <w:jc w:val="left"/>
    </w:pPr>
  </w:style>
  <w:style w:type="paragraph" w:styleId="4">
    <w:name w:val="toc 3"/>
    <w:basedOn w:val="1"/>
    <w:next w:val="1"/>
    <w:uiPriority w:val="39"/>
    <w:pPr>
      <w:ind w:left="840" w:leftChars="400"/>
    </w:pPr>
    <w:rPr>
      <w:rFonts w:ascii="Calibri" w:hAnsi="Calibri"/>
      <w:szCs w:val="22"/>
    </w:rPr>
  </w:style>
  <w:style w:type="paragraph" w:styleId="5">
    <w:name w:val="Balloon Text"/>
    <w:basedOn w:val="1"/>
    <w:link w:val="21"/>
    <w:unhideWhenUsed/>
    <w:qFormat/>
    <w:uiPriority w:val="99"/>
    <w:rPr>
      <w:sz w:val="18"/>
      <w:szCs w:val="18"/>
    </w:rPr>
  </w:style>
  <w:style w:type="paragraph" w:styleId="6">
    <w:name w:val="footer"/>
    <w:basedOn w:val="1"/>
    <w:link w:val="17"/>
    <w:unhideWhenUsed/>
    <w:qFormat/>
    <w:uiPriority w:val="99"/>
    <w:pPr>
      <w:tabs>
        <w:tab w:val="center" w:pos="4153"/>
        <w:tab w:val="right" w:pos="8306"/>
      </w:tabs>
      <w:snapToGrid w:val="0"/>
      <w:jc w:val="left"/>
    </w:pPr>
    <w:rPr>
      <w:sz w:val="18"/>
      <w:szCs w:val="18"/>
    </w:rPr>
  </w:style>
  <w:style w:type="paragraph" w:styleId="7">
    <w:name w:val="header"/>
    <w:basedOn w:val="1"/>
    <w:link w:val="16"/>
    <w:unhideWhenUsed/>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iPriority w:val="39"/>
    <w:rPr>
      <w:rFonts w:ascii="Calibri" w:hAnsi="Calibri"/>
      <w:szCs w:val="22"/>
    </w:rPr>
  </w:style>
  <w:style w:type="paragraph" w:styleId="9">
    <w:name w:val="annotation subject"/>
    <w:basedOn w:val="3"/>
    <w:next w:val="3"/>
    <w:link w:val="23"/>
    <w:unhideWhenUsed/>
    <w:qFormat/>
    <w:uiPriority w:val="99"/>
    <w:rPr>
      <w:b/>
      <w:bCs/>
    </w:rPr>
  </w:style>
  <w:style w:type="character" w:styleId="12">
    <w:name w:val="Hyperlink"/>
    <w:unhideWhenUsed/>
    <w:uiPriority w:val="99"/>
    <w:rPr>
      <w:color w:val="0000FF"/>
      <w:u w:val="single"/>
    </w:rPr>
  </w:style>
  <w:style w:type="character" w:styleId="13">
    <w:name w:val="annotation reference"/>
    <w:basedOn w:val="11"/>
    <w:unhideWhenUsed/>
    <w:qFormat/>
    <w:uiPriority w:val="99"/>
    <w:rPr>
      <w:sz w:val="21"/>
      <w:szCs w:val="21"/>
    </w:rPr>
  </w:style>
  <w:style w:type="character" w:customStyle="1" w:styleId="14">
    <w:name w:val="标题 3 字符"/>
    <w:basedOn w:val="11"/>
    <w:semiHidden/>
    <w:uiPriority w:val="9"/>
    <w:rPr>
      <w:rFonts w:ascii="Times New Roman" w:hAnsi="Times New Roman" w:eastAsia="宋体" w:cs="Times New Roman"/>
      <w:b/>
      <w:bCs/>
      <w:sz w:val="32"/>
      <w:szCs w:val="32"/>
    </w:rPr>
  </w:style>
  <w:style w:type="character" w:customStyle="1" w:styleId="15">
    <w:name w:val="标题 3 Char"/>
    <w:link w:val="2"/>
    <w:qFormat/>
    <w:uiPriority w:val="9"/>
    <w:rPr>
      <w:rFonts w:ascii="Times New Roman" w:hAnsi="Times New Roman" w:eastAsia="宋体" w:cs="Times New Roman"/>
      <w:b/>
      <w:bCs/>
      <w:sz w:val="32"/>
      <w:szCs w:val="32"/>
    </w:rPr>
  </w:style>
  <w:style w:type="character" w:customStyle="1" w:styleId="16">
    <w:name w:val="页眉 Char"/>
    <w:basedOn w:val="11"/>
    <w:link w:val="7"/>
    <w:qFormat/>
    <w:uiPriority w:val="99"/>
    <w:rPr>
      <w:rFonts w:ascii="Times New Roman" w:hAnsi="Times New Roman" w:eastAsia="宋体" w:cs="Times New Roman"/>
      <w:sz w:val="18"/>
      <w:szCs w:val="18"/>
    </w:rPr>
  </w:style>
  <w:style w:type="character" w:customStyle="1" w:styleId="17">
    <w:name w:val="页脚 Char"/>
    <w:basedOn w:val="11"/>
    <w:link w:val="6"/>
    <w:qFormat/>
    <w:uiPriority w:val="99"/>
    <w:rPr>
      <w:rFonts w:ascii="Times New Roman" w:hAnsi="Times New Roman" w:eastAsia="宋体" w:cs="Times New Roman"/>
      <w:sz w:val="18"/>
      <w:szCs w:val="18"/>
    </w:rPr>
  </w:style>
  <w:style w:type="paragraph" w:customStyle="1" w:styleId="18">
    <w:name w:val="5-内文"/>
    <w:basedOn w:val="1"/>
    <w:link w:val="19"/>
    <w:qFormat/>
    <w:uiPriority w:val="99"/>
    <w:pPr>
      <w:spacing w:beforeLines="25" w:afterLines="25" w:line="300" w:lineRule="auto"/>
      <w:ind w:firstLine="200" w:firstLineChars="200"/>
    </w:pPr>
    <w:rPr>
      <w:rFonts w:ascii="Calibri" w:hAnsi="Calibri" w:eastAsia="仿宋_GB2312"/>
      <w:kern w:val="0"/>
      <w:sz w:val="28"/>
      <w:szCs w:val="20"/>
    </w:rPr>
  </w:style>
  <w:style w:type="character" w:customStyle="1" w:styleId="19">
    <w:name w:val="5-内文 Char"/>
    <w:link w:val="18"/>
    <w:qFormat/>
    <w:locked/>
    <w:uiPriority w:val="99"/>
    <w:rPr>
      <w:rFonts w:ascii="Calibri" w:hAnsi="Calibri" w:eastAsia="仿宋_GB2312" w:cs="Times New Roman"/>
      <w:kern w:val="0"/>
      <w:sz w:val="28"/>
      <w:szCs w:val="20"/>
    </w:rPr>
  </w:style>
  <w:style w:type="paragraph" w:customStyle="1" w:styleId="20">
    <w:name w:val="列出段落1"/>
    <w:basedOn w:val="1"/>
    <w:qFormat/>
    <w:uiPriority w:val="34"/>
    <w:pPr>
      <w:ind w:firstLine="420" w:firstLineChars="200"/>
    </w:pPr>
    <w:rPr>
      <w:rFonts w:ascii="Calibri" w:hAnsi="Calibri"/>
      <w:szCs w:val="22"/>
    </w:rPr>
  </w:style>
  <w:style w:type="character" w:customStyle="1" w:styleId="21">
    <w:name w:val="批注框文本 Char"/>
    <w:basedOn w:val="11"/>
    <w:link w:val="5"/>
    <w:semiHidden/>
    <w:uiPriority w:val="99"/>
    <w:rPr>
      <w:rFonts w:ascii="Times New Roman" w:hAnsi="Times New Roman" w:eastAsia="宋体" w:cs="Times New Roman"/>
      <w:sz w:val="18"/>
      <w:szCs w:val="18"/>
    </w:rPr>
  </w:style>
  <w:style w:type="character" w:customStyle="1" w:styleId="22">
    <w:name w:val="批注文字 Char"/>
    <w:basedOn w:val="11"/>
    <w:link w:val="3"/>
    <w:semiHidden/>
    <w:uiPriority w:val="99"/>
    <w:rPr>
      <w:rFonts w:ascii="Times New Roman" w:hAnsi="Times New Roman" w:eastAsia="宋体" w:cs="Times New Roman"/>
      <w:szCs w:val="24"/>
    </w:rPr>
  </w:style>
  <w:style w:type="character" w:customStyle="1" w:styleId="23">
    <w:name w:val="批注主题 Char"/>
    <w:basedOn w:val="22"/>
    <w:link w:val="9"/>
    <w:semiHidden/>
    <w:qFormat/>
    <w:uiPriority w:val="99"/>
    <w:rPr>
      <w:rFonts w:ascii="Times New Roman" w:hAnsi="Times New Roman" w:eastAsia="宋体" w:cs="Times New Roman"/>
      <w:b/>
      <w:bCs/>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1325</Words>
  <Characters>7553</Characters>
  <Lines>62</Lines>
  <Paragraphs>17</Paragraphs>
  <TotalTime>5</TotalTime>
  <ScaleCrop>false</ScaleCrop>
  <LinksUpToDate>false</LinksUpToDate>
  <CharactersWithSpaces>8861</CharactersWithSpaces>
  <Application>WPS Office_11.1.0.8894_F1E327BC-269C-435d-A152-05C5408002CA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2017-12-13T14:21:00Z</dcterms:created>
  <dc:creator>王岳</dc:creator>
  <cp:lastModifiedBy>Administrator</cp:lastModifiedBy>
  <dcterms:modified xsi:type="dcterms:W3CDTF">2019-08-01T03:46:08Z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