
<file path=[Content_Types].xml><?xml version="1.0" encoding="utf-8"?>
<Types xmlns="http://schemas.openxmlformats.org/package/2006/content-types">
  <Default Extension="xml" ContentType="application/xml"/>
  <Default Extension="jpeg" ContentType="image/jpe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ind w:firstLine="0" w:firstLineChars="0"/>
        <w:jc w:val="center"/>
        <w:rPr>
          <w:rFonts w:ascii="Arial Narrow" w:hAnsi="Arial Narrow" w:eastAsia="黑体"/>
          <w:b/>
          <w:sz w:val="36"/>
          <w:szCs w:val="36"/>
        </w:rPr>
      </w:pPr>
      <w:r>
        <w:rPr>
          <w:rFonts w:hint="eastAsia" w:ascii="Arial Narrow" w:hAnsi="黑体" w:eastAsia="黑体" w:cs="宋体"/>
          <w:b/>
          <w:sz w:val="36"/>
          <w:szCs w:val="36"/>
        </w:rPr>
        <w:t>20</w:t>
      </w:r>
      <w:r>
        <w:rPr>
          <w:rFonts w:hint="eastAsia" w:ascii="Arial Narrow" w:hAnsi="黑体" w:eastAsia="黑体" w:cs="宋体"/>
          <w:b/>
          <w:sz w:val="36"/>
          <w:szCs w:val="36"/>
          <w:lang w:val="en-US" w:eastAsia="zh-CN"/>
        </w:rPr>
        <w:t>20</w:t>
      </w:r>
      <w:r>
        <w:rPr>
          <w:rFonts w:hint="eastAsia" w:ascii="Arial Narrow" w:hAnsi="黑体" w:eastAsia="黑体" w:cs="宋体"/>
          <w:b/>
          <w:sz w:val="36"/>
          <w:szCs w:val="36"/>
        </w:rPr>
        <w:t>年</w:t>
      </w:r>
      <w:r>
        <w:rPr>
          <w:rFonts w:hint="eastAsia" w:ascii="Arial Narrow" w:hAnsi="黑体" w:eastAsia="黑体" w:cs="宋体"/>
          <w:b/>
          <w:sz w:val="36"/>
          <w:szCs w:val="36"/>
          <w:lang w:val="en-US" w:eastAsia="zh-CN"/>
        </w:rPr>
        <w:t>海南</w:t>
      </w:r>
      <w:r>
        <w:rPr>
          <w:rFonts w:hint="eastAsia" w:ascii="Arial Narrow" w:hAnsi="黑体" w:eastAsia="黑体" w:cs="宋体"/>
          <w:b/>
          <w:sz w:val="36"/>
          <w:szCs w:val="36"/>
        </w:rPr>
        <w:t>省市场营销技能大赛</w:t>
      </w:r>
    </w:p>
    <w:p>
      <w:pPr>
        <w:snapToGrid w:val="0"/>
        <w:spacing w:line="540" w:lineRule="exact"/>
        <w:ind w:firstLine="0" w:firstLineChars="0"/>
        <w:jc w:val="center"/>
        <w:rPr>
          <w:rFonts w:ascii="Arial Narrow" w:hAnsi="Arial Narrow" w:eastAsia="黑体"/>
          <w:b/>
          <w:sz w:val="36"/>
          <w:szCs w:val="36"/>
        </w:rPr>
      </w:pPr>
      <w:r>
        <w:rPr>
          <w:rFonts w:hint="eastAsia" w:ascii="Arial Narrow" w:hAnsi="黑体" w:eastAsia="黑体" w:cs="宋体"/>
          <w:b/>
          <w:sz w:val="36"/>
          <w:szCs w:val="36"/>
        </w:rPr>
        <w:t>赛项规程（高职组）</w:t>
      </w:r>
    </w:p>
    <w:p>
      <w:pPr>
        <w:pStyle w:val="3"/>
        <w:ind w:firstLine="562"/>
      </w:pPr>
      <w:r>
        <w:rPr>
          <w:rFonts w:hint="eastAsia"/>
        </w:rPr>
        <w:t>一、赛项名称</w:t>
      </w:r>
    </w:p>
    <w:p>
      <w:pPr>
        <w:pStyle w:val="16"/>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赛项编号：</w:t>
      </w:r>
    </w:p>
    <w:p>
      <w:pPr>
        <w:pStyle w:val="16"/>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赛项名称：市场营销技能</w:t>
      </w:r>
    </w:p>
    <w:p>
      <w:pPr>
        <w:pStyle w:val="16"/>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英语翻译：</w:t>
      </w:r>
      <w:r>
        <w:rPr>
          <w:rFonts w:ascii="仿宋_GB2312" w:hAnsi="黑体" w:eastAsia="仿宋_GB2312" w:cs="PROKST+FZFSJW--GB1-0"/>
          <w:sz w:val="28"/>
          <w:szCs w:val="28"/>
        </w:rPr>
        <w:t xml:space="preserve">Marketing </w:t>
      </w:r>
      <w:r>
        <w:rPr>
          <w:rFonts w:hint="eastAsia" w:ascii="仿宋_GB2312" w:hAnsi="黑体" w:eastAsia="仿宋_GB2312" w:cs="PROKST+FZFSJW--GB1-0"/>
          <w:sz w:val="28"/>
          <w:szCs w:val="28"/>
        </w:rPr>
        <w:t>S</w:t>
      </w:r>
      <w:r>
        <w:rPr>
          <w:rFonts w:ascii="仿宋_GB2312" w:hAnsi="黑体" w:eastAsia="仿宋_GB2312" w:cs="PROKST+FZFSJW--GB1-0"/>
          <w:sz w:val="28"/>
          <w:szCs w:val="28"/>
        </w:rPr>
        <w:t>kills</w:t>
      </w:r>
    </w:p>
    <w:p>
      <w:pPr>
        <w:pStyle w:val="16"/>
        <w:spacing w:line="560" w:lineRule="exact"/>
        <w:ind w:firstLine="560" w:firstLineChars="200"/>
        <w:jc w:val="both"/>
        <w:rPr>
          <w:rFonts w:ascii="仿宋_GB2312" w:hAnsi="黑体" w:eastAsia="仿宋_GB2312" w:cs="PROKST+FZFSJW--GB1-0"/>
          <w:sz w:val="28"/>
          <w:szCs w:val="28"/>
        </w:rPr>
      </w:pPr>
      <w:r>
        <w:rPr>
          <w:rFonts w:hint="eastAsia" w:ascii="仿宋_GB2312" w:hAnsi="黑体" w:eastAsia="仿宋_GB2312" w:cs="PROKST+FZFSJW--GB1-0"/>
          <w:sz w:val="28"/>
          <w:szCs w:val="28"/>
        </w:rPr>
        <w:t>赛项组别：高职</w:t>
      </w:r>
    </w:p>
    <w:p>
      <w:pPr>
        <w:ind w:firstLine="560"/>
        <w:rPr>
          <w:rFonts w:ascii="Arial Narrow" w:hAnsi="Arial Narrow" w:cs="宋体"/>
          <w:u w:val="single"/>
        </w:rPr>
      </w:pPr>
      <w:r>
        <w:rPr>
          <w:rFonts w:hint="eastAsia" w:ascii="Arial Narrow" w:hAnsi="Arial Narrow" w:cs="宋体"/>
        </w:rPr>
        <w:t>赛项归属产业：批发业、零售业</w:t>
      </w:r>
    </w:p>
    <w:p>
      <w:pPr>
        <w:pStyle w:val="3"/>
        <w:ind w:firstLine="562"/>
      </w:pPr>
      <w:r>
        <w:rPr>
          <w:rFonts w:hint="eastAsia"/>
        </w:rPr>
        <w:t>二、竞赛目的</w:t>
      </w:r>
    </w:p>
    <w:p>
      <w:pPr>
        <w:ind w:firstLine="560"/>
      </w:pPr>
      <w:r>
        <w:rPr>
          <w:rFonts w:hint="eastAsia"/>
        </w:rPr>
        <w:t>赛项面向各行各业市场营销相关中、基层管理岗位，考察选手市场营销基本职业素质、专业技能和综合应用能力，分为商务数据分析、营销实战展示和情境营销三个竞赛模块。为各院校师生提供交流借鉴的平台，引领高职院校市场营销专业建设和教学改革，以赛促教、以赛促学，推进专业建设与产业发展对接、课程内容与职业标准对接、人才培养过程与企业营销过程对接，提高市场营销专业人才培养质量和社会认可度与影响力。</w:t>
      </w:r>
    </w:p>
    <w:p>
      <w:pPr>
        <w:pStyle w:val="3"/>
        <w:ind w:firstLine="562"/>
      </w:pPr>
      <w:r>
        <w:rPr>
          <w:rFonts w:hint="eastAsia"/>
        </w:rPr>
        <w:t>三、竞赛内容</w:t>
      </w:r>
    </w:p>
    <w:p>
      <w:pPr>
        <w:ind w:firstLine="560"/>
      </w:pPr>
      <w:r>
        <w:rPr>
          <w:rFonts w:hint="eastAsia"/>
        </w:rPr>
        <w:t>市场营销技能赛项包括商务数据分析、营销实战展示和情境营销三个竞赛模块。其中，商务数据分析模块考察学生的商品分类、商务数据采集与分析等基本专业技能；营销实战展示模块考察营销过程中市场调查、营销策划、产品促销、线上线下推广、客户关系管理等各类典型职业活动的方案设计、组织落实、过程管理等基本专业技能，以及沟通表达、礼仪规范等基本职业素质；情境营销模块不仅考察学生的目标市场选择与定位、竞争策略分析与执行、营销活动策划与组织、成本核算与财务分析等基本专业技能，还进一步考察学生对充分竞争市场的综合判断分析能力。竞赛中选手将会用到经济学基础、商品学基础、市场营销基础、市场调查与分析、消费者行为学、推销技术、品牌策划、财务管理等课程的综合知识。详见表1。</w:t>
      </w:r>
    </w:p>
    <w:p>
      <w:pPr>
        <w:spacing w:before="190" w:beforeLines="50"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1 </w:t>
      </w:r>
      <w:r>
        <w:rPr>
          <w:rFonts w:hint="eastAsia" w:ascii="仿宋_GB2312" w:hAnsi="Calibri" w:cs="Times New Roman"/>
          <w:b/>
          <w:sz w:val="24"/>
          <w:szCs w:val="24"/>
        </w:rPr>
        <w:t>“市场营销技能”竞赛内容与时长</w:t>
      </w:r>
    </w:p>
    <w:tbl>
      <w:tblPr>
        <w:tblStyle w:val="9"/>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853"/>
        <w:gridCol w:w="1131"/>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815" w:type="dxa"/>
            <w:vAlign w:val="center"/>
          </w:tcPr>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比赛内容</w:t>
            </w:r>
          </w:p>
        </w:tc>
        <w:tc>
          <w:tcPr>
            <w:tcW w:w="853" w:type="dxa"/>
            <w:vAlign w:val="center"/>
          </w:tcPr>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比重</w:t>
            </w:r>
          </w:p>
        </w:tc>
        <w:tc>
          <w:tcPr>
            <w:tcW w:w="1131" w:type="dxa"/>
            <w:vAlign w:val="center"/>
          </w:tcPr>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时间</w:t>
            </w:r>
          </w:p>
        </w:tc>
        <w:tc>
          <w:tcPr>
            <w:tcW w:w="1560" w:type="dxa"/>
            <w:vAlign w:val="center"/>
          </w:tcPr>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比赛安排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4815" w:type="dxa"/>
            <w:vAlign w:val="center"/>
          </w:tcPr>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商务数据分析模块：各参赛队在某一网络销售实战平台上，搜集指定地区、指定时间段的指定商品销售信息，并对此进行分析研判。</w:t>
            </w:r>
          </w:p>
        </w:tc>
        <w:tc>
          <w:tcPr>
            <w:tcW w:w="853" w:type="dxa"/>
            <w:vAlign w:val="center"/>
          </w:tcPr>
          <w:p>
            <w:pPr>
              <w:spacing w:line="240" w:lineRule="auto"/>
              <w:ind w:firstLine="0" w:firstLineChars="0"/>
              <w:jc w:val="center"/>
              <w:rPr>
                <w:rFonts w:ascii="仿宋_GB2312" w:hAnsi="Calibri" w:cs="Times New Roman"/>
                <w:sz w:val="24"/>
                <w:szCs w:val="24"/>
              </w:rPr>
            </w:pPr>
            <w:r>
              <w:rPr>
                <w:rFonts w:ascii="仿宋_GB2312" w:hAnsi="Calibri" w:cs="Times New Roman"/>
                <w:sz w:val="24"/>
                <w:szCs w:val="24"/>
              </w:rPr>
              <w:t>15%</w:t>
            </w:r>
          </w:p>
        </w:tc>
        <w:tc>
          <w:tcPr>
            <w:tcW w:w="1131" w:type="dxa"/>
            <w:vAlign w:val="center"/>
          </w:tcPr>
          <w:p>
            <w:pPr>
              <w:spacing w:line="240" w:lineRule="auto"/>
              <w:ind w:firstLine="0" w:firstLineChars="0"/>
              <w:jc w:val="center"/>
              <w:rPr>
                <w:rFonts w:ascii="仿宋_GB2312" w:hAnsi="Calibri" w:cs="Times New Roman"/>
                <w:sz w:val="24"/>
                <w:szCs w:val="24"/>
              </w:rPr>
            </w:pPr>
            <w:r>
              <w:rPr>
                <w:rFonts w:ascii="仿宋_GB2312" w:hAnsi="Calibri" w:cs="Times New Roman"/>
                <w:sz w:val="24"/>
                <w:szCs w:val="24"/>
              </w:rPr>
              <w:t>60</w:t>
            </w:r>
            <w:r>
              <w:rPr>
                <w:rFonts w:hint="eastAsia" w:ascii="仿宋_GB2312" w:hAnsi="Calibri" w:cs="Times New Roman"/>
                <w:sz w:val="24"/>
                <w:szCs w:val="24"/>
              </w:rPr>
              <w:t>分钟</w:t>
            </w:r>
          </w:p>
        </w:tc>
        <w:tc>
          <w:tcPr>
            <w:tcW w:w="1560"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竞赛第一天</w:t>
            </w:r>
          </w:p>
          <w:p>
            <w:pPr>
              <w:spacing w:line="240" w:lineRule="auto"/>
              <w:ind w:firstLine="0" w:firstLineChars="0"/>
              <w:jc w:val="center"/>
              <w:rPr>
                <w:rFonts w:ascii="仿宋_GB2312" w:hAnsi="Calibri"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815" w:type="dxa"/>
            <w:vAlign w:val="center"/>
          </w:tcPr>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情境营销模块：各参赛队在同一个动态市场环境条件下，通过目标市场分析与选择、营销策略组合和财务报表分析，使企业的效益最大化。</w:t>
            </w:r>
          </w:p>
        </w:tc>
        <w:tc>
          <w:tcPr>
            <w:tcW w:w="853" w:type="dxa"/>
            <w:vAlign w:val="center"/>
          </w:tcPr>
          <w:p>
            <w:pPr>
              <w:spacing w:line="240" w:lineRule="auto"/>
              <w:ind w:firstLine="0" w:firstLineChars="0"/>
              <w:jc w:val="center"/>
              <w:rPr>
                <w:rFonts w:ascii="仿宋_GB2312" w:hAnsi="Calibri" w:cs="Times New Roman"/>
                <w:sz w:val="24"/>
                <w:szCs w:val="24"/>
              </w:rPr>
            </w:pPr>
            <w:r>
              <w:rPr>
                <w:rFonts w:ascii="仿宋_GB2312" w:hAnsi="Calibri" w:cs="Times New Roman"/>
                <w:sz w:val="24"/>
                <w:szCs w:val="24"/>
              </w:rPr>
              <w:t>70%</w:t>
            </w:r>
          </w:p>
        </w:tc>
        <w:tc>
          <w:tcPr>
            <w:tcW w:w="1131" w:type="dxa"/>
            <w:tcBorders>
              <w:bottom w:val="single" w:color="auto" w:sz="4" w:space="0"/>
            </w:tcBorders>
            <w:vAlign w:val="center"/>
          </w:tcPr>
          <w:p>
            <w:pPr>
              <w:spacing w:line="240" w:lineRule="auto"/>
              <w:ind w:firstLine="0" w:firstLineChars="0"/>
              <w:jc w:val="center"/>
              <w:rPr>
                <w:rFonts w:ascii="仿宋_GB2312" w:hAnsi="Calibri" w:cs="Times New Roman"/>
                <w:sz w:val="24"/>
                <w:szCs w:val="24"/>
              </w:rPr>
            </w:pPr>
            <w:r>
              <w:rPr>
                <w:rFonts w:ascii="仿宋_GB2312" w:hAnsi="Calibri" w:cs="Times New Roman"/>
                <w:sz w:val="24"/>
                <w:szCs w:val="24"/>
              </w:rPr>
              <w:t>300</w:t>
            </w:r>
            <w:r>
              <w:rPr>
                <w:rFonts w:hint="eastAsia" w:ascii="仿宋_GB2312" w:hAnsi="Calibri" w:cs="Times New Roman"/>
                <w:sz w:val="24"/>
                <w:szCs w:val="24"/>
              </w:rPr>
              <w:t>分钟</w:t>
            </w:r>
          </w:p>
        </w:tc>
        <w:tc>
          <w:tcPr>
            <w:tcW w:w="1560" w:type="dxa"/>
            <w:tcBorders>
              <w:bottom w:val="single" w:color="auto" w:sz="4" w:space="0"/>
            </w:tcBorders>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竞赛第一天</w:t>
            </w:r>
          </w:p>
          <w:p>
            <w:pPr>
              <w:spacing w:line="240" w:lineRule="auto"/>
              <w:ind w:firstLine="0" w:firstLineChars="0"/>
              <w:jc w:val="center"/>
              <w:rPr>
                <w:rFonts w:ascii="仿宋_GB2312" w:hAnsi="Calibri"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4815" w:type="dxa"/>
            <w:vAlign w:val="center"/>
          </w:tcPr>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营销实战展示模块：</w:t>
            </w:r>
          </w:p>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（1）赛前1个月针对选定的真实产品或项目，对指定市场进行某一营销典型职业活动的方案设计、组织落实、监督管理。</w:t>
            </w:r>
          </w:p>
        </w:tc>
        <w:tc>
          <w:tcPr>
            <w:tcW w:w="853" w:type="dxa"/>
            <w:vMerge w:val="restart"/>
            <w:vAlign w:val="center"/>
          </w:tcPr>
          <w:p>
            <w:pPr>
              <w:spacing w:line="240" w:lineRule="auto"/>
              <w:ind w:firstLine="0" w:firstLineChars="0"/>
              <w:jc w:val="center"/>
              <w:rPr>
                <w:rFonts w:ascii="仿宋_GB2312" w:hAnsi="Calibri" w:cs="Times New Roman"/>
                <w:sz w:val="24"/>
                <w:szCs w:val="24"/>
              </w:rPr>
            </w:pPr>
            <w:r>
              <w:rPr>
                <w:rFonts w:ascii="仿宋_GB2312" w:hAnsi="Calibri" w:cs="Times New Roman"/>
                <w:sz w:val="24"/>
                <w:szCs w:val="24"/>
              </w:rPr>
              <w:t>15%</w:t>
            </w:r>
          </w:p>
        </w:tc>
        <w:tc>
          <w:tcPr>
            <w:tcW w:w="1131" w:type="dxa"/>
            <w:tcBorders>
              <w:tl2br w:val="single" w:color="auto" w:sz="4" w:space="0"/>
            </w:tcBorders>
            <w:vAlign w:val="center"/>
          </w:tcPr>
          <w:p>
            <w:pPr>
              <w:spacing w:line="240" w:lineRule="auto"/>
              <w:ind w:firstLine="0" w:firstLineChars="0"/>
              <w:jc w:val="center"/>
              <w:rPr>
                <w:rFonts w:ascii="仿宋_GB2312" w:hAnsi="Calibri" w:cs="Times New Roman"/>
                <w:sz w:val="24"/>
                <w:szCs w:val="24"/>
              </w:rPr>
            </w:pPr>
          </w:p>
        </w:tc>
        <w:tc>
          <w:tcPr>
            <w:tcW w:w="1560" w:type="dxa"/>
            <w:tcBorders>
              <w:tl2br w:val="single" w:color="auto" w:sz="4" w:space="0"/>
            </w:tcBorders>
            <w:vAlign w:val="center"/>
          </w:tcPr>
          <w:p>
            <w:pPr>
              <w:spacing w:line="240" w:lineRule="auto"/>
              <w:ind w:firstLine="0" w:firstLineChars="0"/>
              <w:jc w:val="center"/>
              <w:rPr>
                <w:rFonts w:ascii="仿宋_GB2312" w:hAnsi="Calibri"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4815" w:type="dxa"/>
            <w:vAlign w:val="center"/>
          </w:tcPr>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营销实战展示模块：</w:t>
            </w:r>
          </w:p>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（2）按题目要求撰写WORD文档和PPT文档。</w:t>
            </w:r>
          </w:p>
        </w:tc>
        <w:tc>
          <w:tcPr>
            <w:tcW w:w="853" w:type="dxa"/>
            <w:vMerge w:val="continue"/>
            <w:vAlign w:val="center"/>
          </w:tcPr>
          <w:p>
            <w:pPr>
              <w:spacing w:line="240" w:lineRule="auto"/>
              <w:ind w:firstLine="0" w:firstLineChars="0"/>
              <w:jc w:val="center"/>
              <w:rPr>
                <w:rFonts w:ascii="仿宋_GB2312" w:hAnsi="Calibri" w:cs="Times New Roman"/>
                <w:sz w:val="24"/>
                <w:szCs w:val="24"/>
              </w:rPr>
            </w:pPr>
          </w:p>
        </w:tc>
        <w:tc>
          <w:tcPr>
            <w:tcW w:w="1131"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60分钟</w:t>
            </w:r>
          </w:p>
        </w:tc>
        <w:tc>
          <w:tcPr>
            <w:tcW w:w="1560"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竞赛第</w:t>
            </w:r>
            <w:r>
              <w:rPr>
                <w:rFonts w:hint="eastAsia" w:ascii="仿宋_GB2312" w:hAnsi="Calibri" w:cs="Times New Roman"/>
                <w:sz w:val="24"/>
                <w:szCs w:val="24"/>
                <w:lang w:val="en-US" w:eastAsia="zh-CN"/>
              </w:rPr>
              <w:t>一</w:t>
            </w:r>
            <w:r>
              <w:rPr>
                <w:rFonts w:hint="eastAsia" w:ascii="仿宋_GB2312" w:hAnsi="Calibri" w:cs="Times New Roman"/>
                <w:sz w:val="24"/>
                <w:szCs w:val="24"/>
              </w:rPr>
              <w:t>天</w:t>
            </w:r>
          </w:p>
          <w:p>
            <w:pPr>
              <w:spacing w:line="240" w:lineRule="auto"/>
              <w:ind w:firstLine="0" w:firstLineChars="0"/>
              <w:jc w:val="center"/>
              <w:rPr>
                <w:rFonts w:ascii="仿宋_GB2312" w:hAnsi="Calibri"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4815" w:type="dxa"/>
            <w:vAlign w:val="center"/>
          </w:tcPr>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营销实战展示模块：</w:t>
            </w:r>
          </w:p>
          <w:p>
            <w:pPr>
              <w:spacing w:line="240" w:lineRule="auto"/>
              <w:ind w:firstLine="0" w:firstLineChars="0"/>
              <w:rPr>
                <w:rFonts w:ascii="仿宋_GB2312" w:hAnsi="Calibri" w:cs="Times New Roman"/>
                <w:sz w:val="24"/>
                <w:szCs w:val="24"/>
              </w:rPr>
            </w:pPr>
            <w:r>
              <w:rPr>
                <w:rFonts w:hint="eastAsia" w:ascii="仿宋_GB2312" w:hAnsi="Calibri" w:cs="Times New Roman"/>
                <w:sz w:val="24"/>
                <w:szCs w:val="24"/>
              </w:rPr>
              <w:t>（3）按题目要求进行汇报展示。</w:t>
            </w:r>
          </w:p>
        </w:tc>
        <w:tc>
          <w:tcPr>
            <w:tcW w:w="853" w:type="dxa"/>
            <w:vMerge w:val="continue"/>
            <w:vAlign w:val="center"/>
          </w:tcPr>
          <w:p>
            <w:pPr>
              <w:spacing w:line="240" w:lineRule="auto"/>
              <w:ind w:firstLine="0" w:firstLineChars="0"/>
              <w:jc w:val="center"/>
              <w:rPr>
                <w:rFonts w:ascii="仿宋_GB2312" w:hAnsi="Calibri" w:cs="Times New Roman"/>
                <w:sz w:val="24"/>
                <w:szCs w:val="24"/>
              </w:rPr>
            </w:pPr>
          </w:p>
        </w:tc>
        <w:tc>
          <w:tcPr>
            <w:tcW w:w="1131"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每小组5分钟</w:t>
            </w:r>
          </w:p>
        </w:tc>
        <w:tc>
          <w:tcPr>
            <w:tcW w:w="1560"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Calibri" w:cs="Times New Roman"/>
                <w:sz w:val="24"/>
                <w:szCs w:val="24"/>
              </w:rPr>
              <w:t>竞赛第</w:t>
            </w:r>
            <w:r>
              <w:rPr>
                <w:rFonts w:hint="eastAsia" w:ascii="仿宋_GB2312" w:hAnsi="Calibri" w:cs="Times New Roman"/>
                <w:sz w:val="24"/>
                <w:szCs w:val="24"/>
                <w:lang w:val="en-US" w:eastAsia="zh-CN"/>
              </w:rPr>
              <w:t>一</w:t>
            </w:r>
            <w:r>
              <w:rPr>
                <w:rFonts w:hint="eastAsia" w:ascii="仿宋_GB2312" w:hAnsi="Calibri" w:cs="Times New Roman"/>
                <w:sz w:val="24"/>
                <w:szCs w:val="24"/>
              </w:rPr>
              <w:t>天</w:t>
            </w:r>
          </w:p>
          <w:p>
            <w:pPr>
              <w:spacing w:line="240" w:lineRule="auto"/>
              <w:ind w:firstLine="0" w:firstLineChars="0"/>
              <w:jc w:val="center"/>
              <w:rPr>
                <w:rFonts w:ascii="仿宋_GB2312" w:hAnsi="Calibri" w:cs="Times New Roman"/>
                <w:sz w:val="24"/>
                <w:szCs w:val="24"/>
              </w:rPr>
            </w:pPr>
          </w:p>
        </w:tc>
      </w:tr>
    </w:tbl>
    <w:p>
      <w:pPr>
        <w:pStyle w:val="3"/>
        <w:ind w:firstLine="562"/>
      </w:pPr>
      <w:r>
        <w:rPr>
          <w:rFonts w:hint="eastAsia"/>
        </w:rPr>
        <w:t>四、竞赛方式</w:t>
      </w:r>
    </w:p>
    <w:p>
      <w:pPr>
        <w:ind w:firstLine="560"/>
      </w:pPr>
      <w:r>
        <w:rPr>
          <w:rFonts w:hint="eastAsia"/>
        </w:rPr>
        <w:t>1．本赛项为团体赛。以省、自治区、直辖市、新疆生产建设兵团为单位组织报名参赛。由省、自治区、直辖市、新疆生产建设兵团教育行政部门确定赛项领队1人。</w:t>
      </w:r>
      <w:bookmarkStart w:id="0" w:name="_GoBack"/>
    </w:p>
    <w:bookmarkEnd w:id="0"/>
    <w:p>
      <w:pPr>
        <w:ind w:firstLine="560"/>
      </w:pPr>
      <w:r>
        <w:rPr>
          <w:rFonts w:hint="eastAsia"/>
        </w:rPr>
        <w:t>2．本赛项不得跨校组队，同一学校报名参赛队不超过</w:t>
      </w:r>
      <w:r>
        <w:rPr>
          <w:rFonts w:hint="eastAsia"/>
          <w:lang w:val="en-US" w:eastAsia="zh-CN"/>
        </w:rPr>
        <w:t>2</w:t>
      </w:r>
      <w:r>
        <w:rPr>
          <w:rFonts w:hint="eastAsia"/>
        </w:rPr>
        <w:t>支。每支参赛队由4名参赛选手组成。每队限报2名指导教师，指导老师须为本校专兼职教师。</w:t>
      </w:r>
    </w:p>
    <w:p>
      <w:pPr>
        <w:pStyle w:val="3"/>
        <w:ind w:firstLine="562"/>
      </w:pPr>
      <w:r>
        <w:rPr>
          <w:rFonts w:hint="eastAsia"/>
        </w:rPr>
        <w:t>五、竞赛流程</w:t>
      </w:r>
    </w:p>
    <w:p>
      <w:pPr>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2 </w:t>
      </w:r>
      <w:r>
        <w:rPr>
          <w:rFonts w:hint="eastAsia" w:ascii="仿宋_GB2312" w:hAnsi="Calibri" w:cs="Times New Roman"/>
          <w:b/>
          <w:sz w:val="24"/>
          <w:szCs w:val="24"/>
        </w:rPr>
        <w:t>竞赛流程</w:t>
      </w:r>
    </w:p>
    <w:tbl>
      <w:tblPr>
        <w:tblStyle w:val="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615"/>
        <w:gridCol w:w="2516"/>
        <w:gridCol w:w="2523"/>
        <w:gridCol w:w="1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67"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日期</w:t>
            </w:r>
          </w:p>
        </w:tc>
        <w:tc>
          <w:tcPr>
            <w:tcW w:w="1615"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时间</w:t>
            </w:r>
          </w:p>
        </w:tc>
        <w:tc>
          <w:tcPr>
            <w:tcW w:w="2516"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事项</w:t>
            </w:r>
          </w:p>
        </w:tc>
        <w:tc>
          <w:tcPr>
            <w:tcW w:w="2523"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参加人员</w:t>
            </w:r>
          </w:p>
        </w:tc>
        <w:tc>
          <w:tcPr>
            <w:tcW w:w="1446" w:type="dxa"/>
            <w:vAlign w:val="center"/>
          </w:tcPr>
          <w:p>
            <w:pPr>
              <w:spacing w:line="240" w:lineRule="auto"/>
              <w:ind w:firstLine="0" w:firstLineChars="0"/>
              <w:jc w:val="center"/>
              <w:rPr>
                <w:rFonts w:ascii="仿宋_GB2312" w:hAnsi="仿宋" w:cs="Times New Roman"/>
                <w:b/>
                <w:sz w:val="24"/>
                <w:szCs w:val="24"/>
              </w:rPr>
            </w:pPr>
            <w:r>
              <w:rPr>
                <w:rFonts w:hint="eastAsia" w:ascii="仿宋_GB2312" w:hAnsi="仿宋" w:cs="Times New Roman"/>
                <w:b/>
                <w:sz w:val="24"/>
                <w:szCs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竞赛前</w:t>
            </w:r>
            <w:r>
              <w:rPr>
                <w:rFonts w:ascii="仿宋_GB2312" w:hAnsi="宋体" w:cs="Times New Roman"/>
                <w:sz w:val="24"/>
                <w:szCs w:val="24"/>
                <w:shd w:val="clear" w:color="auto" w:fill="FFFFFF"/>
              </w:rPr>
              <w:t>2</w:t>
            </w:r>
            <w:r>
              <w:rPr>
                <w:rFonts w:hint="eastAsia" w:ascii="仿宋_GB2312" w:hAnsi="宋体" w:cs="Times New Roman"/>
                <w:sz w:val="24"/>
                <w:szCs w:val="24"/>
                <w:shd w:val="clear" w:color="auto" w:fill="FFFFFF"/>
              </w:rPr>
              <w:t>日</w:t>
            </w: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20:00</w:t>
            </w:r>
            <w:r>
              <w:rPr>
                <w:rFonts w:hint="eastAsia" w:ascii="仿宋_GB2312" w:hAnsi="宋体" w:cs="Times New Roman"/>
                <w:sz w:val="24"/>
                <w:szCs w:val="24"/>
                <w:shd w:val="clear" w:color="auto" w:fill="FFFFFF"/>
              </w:rPr>
              <w:t>前</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裁判、仲裁、监督报到</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工作人员</w:t>
            </w:r>
          </w:p>
        </w:tc>
        <w:tc>
          <w:tcPr>
            <w:tcW w:w="1446"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zh-CN"/>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restart"/>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hint="eastAsia" w:ascii="仿宋_GB2312" w:hAnsi="仿宋" w:cs="Times New Roman"/>
                <w:sz w:val="24"/>
                <w:szCs w:val="24"/>
              </w:rPr>
              <w:t>竞赛前</w:t>
            </w:r>
            <w:r>
              <w:rPr>
                <w:rFonts w:ascii="仿宋_GB2312" w:hAnsi="仿宋" w:cs="Times New Roman"/>
                <w:sz w:val="24"/>
                <w:szCs w:val="24"/>
              </w:rPr>
              <w:t>1</w:t>
            </w:r>
            <w:r>
              <w:rPr>
                <w:rFonts w:hint="eastAsia" w:ascii="仿宋_GB2312" w:hAnsi="仿宋" w:cs="Times New Roman"/>
                <w:sz w:val="24"/>
                <w:szCs w:val="24"/>
              </w:rPr>
              <w:t>日</w:t>
            </w: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09:00-14:30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参赛队报到，安排住宿，领取资料</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工作人员、参赛队</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09:00-12:00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裁判培训与工作会议</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裁判长、裁判员、监督组、专家组</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:00-1</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领队会</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各参赛队领队、裁判长</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15:</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0-16:00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熟悉赛场</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16:</w:t>
            </w:r>
            <w:r>
              <w:rPr>
                <w:rFonts w:hint="eastAsia" w:ascii="仿宋_GB2312" w:hAnsi="宋体" w:cs="Times New Roman"/>
                <w:sz w:val="24"/>
                <w:szCs w:val="24"/>
                <w:shd w:val="clear" w:color="auto" w:fill="FFFFFF"/>
              </w:rPr>
              <w:t>1</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检查封闭赛场</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裁判长、监督组</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w:t>
            </w:r>
            <w:r>
              <w:rPr>
                <w:rFonts w:hint="eastAsia" w:ascii="仿宋_GB2312" w:hAnsi="宋体" w:cs="Times New Roman"/>
                <w:sz w:val="24"/>
                <w:szCs w:val="24"/>
                <w:shd w:val="clear" w:color="auto" w:fill="FFFFFF"/>
              </w:rPr>
              <w:t>6</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2</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参赛领队返回酒店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restart"/>
            <w:vAlign w:val="center"/>
          </w:tcPr>
          <w:p>
            <w:pPr>
              <w:spacing w:line="240" w:lineRule="auto"/>
              <w:ind w:firstLine="0" w:firstLineChars="0"/>
              <w:jc w:val="center"/>
              <w:rPr>
                <w:rFonts w:ascii="仿宋_GB2312" w:hAnsi="仿宋" w:cs="Times New Roman"/>
                <w:sz w:val="24"/>
                <w:szCs w:val="24"/>
              </w:rPr>
            </w:pPr>
            <w:r>
              <w:rPr>
                <w:rFonts w:hint="eastAsia" w:ascii="仿宋_GB2312" w:hAnsi="仿宋" w:cs="Times New Roman"/>
                <w:sz w:val="24"/>
                <w:szCs w:val="24"/>
              </w:rPr>
              <w:t>竞赛</w:t>
            </w:r>
          </w:p>
          <w:p>
            <w:pPr>
              <w:spacing w:line="240" w:lineRule="auto"/>
              <w:ind w:firstLine="0" w:firstLineChars="0"/>
              <w:jc w:val="center"/>
              <w:rPr>
                <w:rFonts w:ascii="仿宋_GB2312" w:hAnsi="仿宋" w:cs="Times New Roman"/>
                <w:sz w:val="24"/>
                <w:szCs w:val="24"/>
              </w:rPr>
            </w:pPr>
            <w:r>
              <w:rPr>
                <w:rFonts w:hint="eastAsia" w:ascii="仿宋_GB2312" w:hAnsi="仿宋" w:cs="Times New Roman"/>
                <w:sz w:val="24"/>
                <w:szCs w:val="24"/>
              </w:rPr>
              <w:t>第</w:t>
            </w:r>
            <w:r>
              <w:rPr>
                <w:rFonts w:ascii="仿宋_GB2312" w:hAnsi="仿宋" w:cs="Times New Roman"/>
                <w:sz w:val="24"/>
                <w:szCs w:val="24"/>
              </w:rPr>
              <w:t>1</w:t>
            </w:r>
            <w:r>
              <w:rPr>
                <w:rFonts w:hint="eastAsia" w:ascii="仿宋_GB2312" w:hAnsi="仿宋" w:cs="Times New Roman"/>
                <w:sz w:val="24"/>
                <w:szCs w:val="24"/>
              </w:rPr>
              <w:t>日</w:t>
            </w: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参赛队到达竞赛场地前集合</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各参赛队、工作人员</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3</w:t>
            </w:r>
            <w:r>
              <w:rPr>
                <w:rFonts w:ascii="仿宋_GB2312" w:hAnsi="宋体" w:cs="Times New Roman"/>
                <w:sz w:val="24"/>
                <w:szCs w:val="24"/>
                <w:shd w:val="clear" w:color="auto" w:fill="FFFFFF"/>
              </w:rPr>
              <w:t>0-0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大赛检录</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参赛选手，检录工作人员</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w:t>
            </w:r>
            <w:r>
              <w:rPr>
                <w:rFonts w:hint="eastAsia" w:ascii="仿宋_GB2312" w:hAnsi="宋体" w:cs="Times New Roman"/>
                <w:sz w:val="24"/>
                <w:szCs w:val="24"/>
                <w:shd w:val="clear" w:color="auto" w:fill="FFFFFF"/>
              </w:rPr>
              <w:t>7</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0-08:</w:t>
            </w:r>
            <w:r>
              <w:rPr>
                <w:rFonts w:hint="eastAsia" w:ascii="仿宋_GB2312" w:hAnsi="宋体" w:cs="Times New Roman"/>
                <w:sz w:val="24"/>
                <w:szCs w:val="24"/>
                <w:shd w:val="clear" w:color="auto" w:fill="FFFFFF"/>
              </w:rPr>
              <w:t>2</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第一次抽签加密（抽序号）</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参赛选手、第一次加密裁判、监督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08:</w:t>
            </w:r>
            <w:r>
              <w:rPr>
                <w:rFonts w:hint="eastAsia" w:ascii="仿宋_GB2312" w:hAnsi="宋体" w:cs="Times New Roman"/>
                <w:sz w:val="24"/>
                <w:szCs w:val="24"/>
                <w:shd w:val="clear" w:color="auto" w:fill="FFFFFF"/>
              </w:rPr>
              <w:t>2</w:t>
            </w:r>
            <w:r>
              <w:rPr>
                <w:rFonts w:ascii="仿宋_GB2312" w:hAnsi="宋体" w:cs="Times New Roman"/>
                <w:sz w:val="24"/>
                <w:szCs w:val="24"/>
                <w:shd w:val="clear" w:color="auto" w:fill="FFFFFF"/>
              </w:rPr>
              <w:t>0-0</w:t>
            </w:r>
            <w:r>
              <w:rPr>
                <w:rFonts w:hint="eastAsia" w:ascii="仿宋_GB2312" w:hAnsi="宋体" w:cs="Times New Roman"/>
                <w:sz w:val="24"/>
                <w:szCs w:val="24"/>
                <w:shd w:val="clear" w:color="auto" w:fill="FFFFFF"/>
              </w:rPr>
              <w:t>8</w:t>
            </w:r>
            <w:r>
              <w:rPr>
                <w:rFonts w:ascii="仿宋_GB2312" w:hAnsi="宋体" w:cs="Times New Roman"/>
                <w:sz w:val="24"/>
                <w:szCs w:val="24"/>
                <w:shd w:val="clear" w:color="auto" w:fill="FFFFFF"/>
              </w:rPr>
              <w:t>:</w:t>
            </w:r>
            <w:r>
              <w:rPr>
                <w:rFonts w:hint="eastAsia" w:ascii="仿宋_GB2312" w:hAnsi="宋体" w:cs="Times New Roman"/>
                <w:sz w:val="24"/>
                <w:szCs w:val="24"/>
                <w:shd w:val="clear" w:color="auto" w:fill="FFFFFF"/>
              </w:rPr>
              <w:t>5</w:t>
            </w:r>
            <w:r>
              <w:rPr>
                <w:rFonts w:ascii="仿宋_GB2312" w:hAnsi="宋体" w:cs="Times New Roman"/>
                <w:sz w:val="24"/>
                <w:szCs w:val="24"/>
                <w:shd w:val="clear" w:color="auto" w:fill="FFFFFF"/>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第二次抽签加密（抽工位号）</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参赛选手、第二次加密裁判、监督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09:00-10:00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商务数据分析模块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10:10-12:00</w:t>
            </w:r>
          </w:p>
        </w:tc>
        <w:tc>
          <w:tcPr>
            <w:tcW w:w="2516"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宋体" w:cs="Times New Roman"/>
                <w:sz w:val="24"/>
                <w:szCs w:val="24"/>
                <w:shd w:val="clear" w:color="auto" w:fill="FFFFFF"/>
                <w:lang w:val="zh-CN"/>
              </w:rPr>
              <w:t>情境营销模块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zh-CN"/>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12:00-12:40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参赛选手午餐</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参赛选手、工作人员</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ascii="仿宋_GB2312" w:hAnsi="宋体" w:cs="Times New Roman"/>
                <w:sz w:val="24"/>
                <w:szCs w:val="24"/>
                <w:shd w:val="clear" w:color="auto" w:fill="FFFFFF"/>
              </w:rPr>
              <w:t>12:40-16:00</w:t>
            </w:r>
          </w:p>
        </w:tc>
        <w:tc>
          <w:tcPr>
            <w:tcW w:w="2516" w:type="dxa"/>
            <w:vAlign w:val="center"/>
          </w:tcPr>
          <w:p>
            <w:pPr>
              <w:spacing w:line="240" w:lineRule="auto"/>
              <w:ind w:firstLine="0" w:firstLineChars="0"/>
              <w:jc w:val="center"/>
              <w:rPr>
                <w:rFonts w:ascii="仿宋_GB2312" w:hAnsi="Calibri" w:cs="Times New Roman"/>
                <w:sz w:val="24"/>
                <w:szCs w:val="24"/>
              </w:rPr>
            </w:pPr>
            <w:r>
              <w:rPr>
                <w:rFonts w:hint="eastAsia" w:ascii="仿宋_GB2312" w:hAnsi="宋体" w:cs="Times New Roman"/>
                <w:sz w:val="24"/>
                <w:szCs w:val="24"/>
                <w:shd w:val="clear" w:color="auto" w:fill="FFFFFF"/>
                <w:lang w:val="zh-CN"/>
              </w:rPr>
              <w:t>情境营销模块</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参赛选手、裁判、专家、监督、仲裁</w:t>
            </w:r>
          </w:p>
        </w:tc>
        <w:tc>
          <w:tcPr>
            <w:tcW w:w="1446"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zh-CN"/>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仿宋" w:cs="Times New Roman"/>
                <w:sz w:val="24"/>
                <w:szCs w:val="24"/>
              </w:rPr>
            </w:pPr>
            <w:r>
              <w:rPr>
                <w:rFonts w:hint="eastAsia" w:ascii="仿宋_GB2312" w:hAnsi="宋体" w:cs="Times New Roman"/>
                <w:sz w:val="24"/>
                <w:szCs w:val="24"/>
                <w:shd w:val="clear" w:color="auto" w:fill="FFFFFF"/>
                <w:lang w:val="en-US" w:eastAsia="zh-CN"/>
              </w:rPr>
              <w:t>16</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lang w:val="zh-CN"/>
              </w:rPr>
              <w:t>0-</w:t>
            </w:r>
            <w:r>
              <w:rPr>
                <w:rFonts w:hint="eastAsia" w:ascii="仿宋_GB2312" w:hAnsi="宋体" w:cs="Times New Roman"/>
                <w:sz w:val="24"/>
                <w:szCs w:val="24"/>
                <w:shd w:val="clear" w:color="auto" w:fill="FFFFFF"/>
                <w:lang w:val="zh-CN"/>
              </w:rPr>
              <w:t>1</w:t>
            </w:r>
            <w:r>
              <w:rPr>
                <w:rFonts w:hint="eastAsia" w:ascii="仿宋_GB2312" w:hAnsi="宋体" w:cs="Times New Roman"/>
                <w:sz w:val="24"/>
                <w:szCs w:val="24"/>
                <w:shd w:val="clear" w:color="auto" w:fill="FFFFFF"/>
                <w:lang w:val="en-US" w:eastAsia="zh-CN"/>
              </w:rPr>
              <w:t>7</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lang w:val="zh-CN"/>
              </w:rPr>
              <w:t>0</w:t>
            </w:r>
          </w:p>
        </w:tc>
        <w:tc>
          <w:tcPr>
            <w:tcW w:w="251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营销实战展示模块word方案及</w:t>
            </w:r>
            <w:r>
              <w:rPr>
                <w:rFonts w:ascii="仿宋_GB2312" w:hAnsi="宋体" w:cs="Times New Roman"/>
                <w:sz w:val="24"/>
                <w:szCs w:val="24"/>
                <w:shd w:val="clear" w:color="auto" w:fill="FFFFFF"/>
              </w:rPr>
              <w:t>PPT</w:t>
            </w:r>
            <w:r>
              <w:rPr>
                <w:rFonts w:hint="eastAsia" w:ascii="仿宋_GB2312" w:hAnsi="宋体" w:cs="Times New Roman"/>
                <w:sz w:val="24"/>
                <w:szCs w:val="24"/>
                <w:shd w:val="clear" w:color="auto" w:fill="FFFFFF"/>
              </w:rPr>
              <w:t>制作</w:t>
            </w:r>
          </w:p>
        </w:tc>
        <w:tc>
          <w:tcPr>
            <w:tcW w:w="2523"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参赛选手、裁判、专家、仲裁、监督</w:t>
            </w:r>
          </w:p>
        </w:tc>
        <w:tc>
          <w:tcPr>
            <w:tcW w:w="1446" w:type="dxa"/>
            <w:vAlign w:val="center"/>
          </w:tcPr>
          <w:p>
            <w:pPr>
              <w:shd w:val="solid" w:color="FFFFFF" w:fill="auto"/>
              <w:autoSpaceDN w:val="0"/>
              <w:spacing w:line="240" w:lineRule="auto"/>
              <w:ind w:firstLine="0" w:firstLineChars="0"/>
              <w:jc w:val="center"/>
              <w:rPr>
                <w:rFonts w:ascii="仿宋_GB2312" w:hAnsi="宋体" w:cs="Times New Roman"/>
                <w:sz w:val="24"/>
                <w:szCs w:val="24"/>
                <w:shd w:val="clear" w:color="auto" w:fill="FFFFFF"/>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ascii="仿宋_GB2312" w:hAnsi="宋体" w:cs="Times New Roman"/>
                <w:sz w:val="24"/>
                <w:szCs w:val="24"/>
                <w:shd w:val="clear" w:color="auto" w:fill="FFFFFF"/>
                <w:lang w:val="zh-CN"/>
              </w:rPr>
              <w:t>1</w:t>
            </w:r>
            <w:r>
              <w:rPr>
                <w:rFonts w:hint="eastAsia" w:ascii="仿宋_GB2312" w:hAnsi="宋体" w:cs="Times New Roman"/>
                <w:sz w:val="24"/>
                <w:szCs w:val="24"/>
                <w:shd w:val="clear" w:color="auto" w:fill="FFFFFF"/>
                <w:lang w:val="en-US" w:eastAsia="zh-CN"/>
              </w:rPr>
              <w:t>7</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lang w:val="zh-CN"/>
              </w:rPr>
              <w:t>0-1</w:t>
            </w:r>
            <w:r>
              <w:rPr>
                <w:rFonts w:hint="eastAsia" w:ascii="仿宋_GB2312" w:hAnsi="宋体" w:cs="Times New Roman"/>
                <w:sz w:val="24"/>
                <w:szCs w:val="24"/>
                <w:shd w:val="clear" w:color="auto" w:fill="FFFFFF"/>
                <w:lang w:val="en-US" w:eastAsia="zh-CN"/>
              </w:rPr>
              <w:t>8</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en-US" w:eastAsia="zh-CN"/>
              </w:rPr>
              <w:t>1</w:t>
            </w:r>
            <w:r>
              <w:rPr>
                <w:rFonts w:ascii="仿宋_GB2312" w:hAnsi="宋体" w:cs="Times New Roman"/>
                <w:sz w:val="24"/>
                <w:szCs w:val="24"/>
                <w:shd w:val="clear" w:color="auto" w:fill="FFFFFF"/>
                <w:lang w:val="zh-CN"/>
              </w:rPr>
              <w:t>0</w:t>
            </w:r>
          </w:p>
        </w:tc>
        <w:tc>
          <w:tcPr>
            <w:tcW w:w="2516" w:type="dxa"/>
            <w:vAlign w:val="center"/>
          </w:tcPr>
          <w:p>
            <w:pPr>
              <w:spacing w:line="240" w:lineRule="auto"/>
              <w:ind w:firstLine="0" w:firstLineChars="0"/>
              <w:jc w:val="center"/>
              <w:rPr>
                <w:rFonts w:ascii="仿宋_GB2312" w:hAnsi="宋体" w:eastAsia="仿宋_GB2312" w:cs="Times New Roman"/>
                <w:kern w:val="2"/>
                <w:sz w:val="24"/>
                <w:szCs w:val="24"/>
                <w:shd w:val="clear" w:color="auto" w:fill="FFFFFF"/>
                <w:lang w:val="zh-CN" w:eastAsia="zh-CN" w:bidi="ar-SA"/>
              </w:rPr>
            </w:pPr>
            <w:r>
              <w:rPr>
                <w:rFonts w:hint="eastAsia" w:ascii="仿宋_GB2312" w:hAnsi="宋体" w:cs="Times New Roman"/>
                <w:sz w:val="24"/>
                <w:szCs w:val="24"/>
                <w:shd w:val="clear" w:color="auto" w:fill="FFFFFF"/>
                <w:lang w:val="zh-CN"/>
              </w:rPr>
              <w:t>营销实战展示</w:t>
            </w:r>
          </w:p>
        </w:tc>
        <w:tc>
          <w:tcPr>
            <w:tcW w:w="2523" w:type="dxa"/>
            <w:vAlign w:val="center"/>
          </w:tcPr>
          <w:p>
            <w:pPr>
              <w:shd w:val="solid" w:color="FFFFFF" w:fill="auto"/>
              <w:autoSpaceDN w:val="0"/>
              <w:spacing w:line="240" w:lineRule="auto"/>
              <w:ind w:firstLine="0" w:firstLineChars="0"/>
              <w:jc w:val="center"/>
              <w:rPr>
                <w:rFonts w:ascii="仿宋_GB2312" w:hAnsi="宋体" w:eastAsia="仿宋_GB2312" w:cs="Times New Roman"/>
                <w:kern w:val="2"/>
                <w:sz w:val="24"/>
                <w:szCs w:val="24"/>
                <w:shd w:val="clear" w:color="auto" w:fill="FFFFFF"/>
                <w:lang w:val="en-US" w:eastAsia="zh-CN" w:bidi="ar-SA"/>
              </w:rPr>
            </w:pPr>
            <w:r>
              <w:rPr>
                <w:rFonts w:hint="eastAsia" w:ascii="仿宋_GB2312" w:hAnsi="宋体" w:cs="Times New Roman"/>
                <w:sz w:val="24"/>
                <w:szCs w:val="24"/>
                <w:shd w:val="clear" w:color="auto" w:fill="FFFFFF"/>
              </w:rPr>
              <w:t>参赛选手、裁判、专家、监督、仲裁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eastAsia="仿宋_GB2312" w:cs="Times New Roman"/>
                <w:kern w:val="2"/>
                <w:sz w:val="24"/>
                <w:szCs w:val="24"/>
                <w:shd w:val="clear" w:color="auto" w:fill="FFFFFF"/>
                <w:lang w:val="en-US" w:eastAsia="zh-CN" w:bidi="ar-SA"/>
              </w:rPr>
            </w:pPr>
            <w:r>
              <w:rPr>
                <w:rFonts w:hint="eastAsia" w:ascii="仿宋_GB2312" w:hAnsi="宋体" w:cs="Times New Roman"/>
                <w:sz w:val="24"/>
                <w:szCs w:val="24"/>
                <w:shd w:val="clear" w:color="auto" w:fill="FFFFFF"/>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67" w:type="dxa"/>
            <w:vMerge w:val="continue"/>
            <w:vAlign w:val="center"/>
          </w:tcPr>
          <w:p>
            <w:pPr>
              <w:spacing w:line="240" w:lineRule="auto"/>
              <w:ind w:firstLine="0" w:firstLineChars="0"/>
              <w:jc w:val="center"/>
              <w:rPr>
                <w:rFonts w:ascii="仿宋_GB2312" w:hAnsi="仿宋" w:cs="Times New Roman"/>
                <w:sz w:val="24"/>
                <w:szCs w:val="24"/>
              </w:rPr>
            </w:pPr>
          </w:p>
        </w:tc>
        <w:tc>
          <w:tcPr>
            <w:tcW w:w="1615" w:type="dxa"/>
            <w:vAlign w:val="center"/>
          </w:tcPr>
          <w:p>
            <w:pPr>
              <w:spacing w:line="240" w:lineRule="auto"/>
              <w:ind w:firstLine="0" w:firstLineChars="0"/>
              <w:jc w:val="center"/>
              <w:rPr>
                <w:rFonts w:ascii="仿宋_GB2312" w:hAnsi="宋体" w:cs="Times New Roman"/>
                <w:sz w:val="24"/>
                <w:szCs w:val="24"/>
                <w:shd w:val="clear" w:color="auto" w:fill="FFFFFF"/>
                <w:lang w:val="zh-CN"/>
              </w:rPr>
            </w:pPr>
            <w:r>
              <w:rPr>
                <w:rFonts w:hint="eastAsia" w:ascii="仿宋_GB2312" w:hAnsi="宋体" w:cs="Times New Roman"/>
                <w:sz w:val="24"/>
                <w:szCs w:val="24"/>
                <w:shd w:val="clear" w:color="auto" w:fill="FFFFFF"/>
                <w:lang w:val="en-US" w:eastAsia="zh-CN"/>
              </w:rPr>
              <w:t>20</w:t>
            </w:r>
            <w:r>
              <w:rPr>
                <w:rFonts w:ascii="仿宋_GB2312" w:hAnsi="宋体" w:cs="Times New Roman"/>
                <w:sz w:val="24"/>
                <w:szCs w:val="24"/>
                <w:shd w:val="clear" w:color="auto" w:fill="FFFFFF"/>
                <w:lang w:val="zh-CN"/>
              </w:rPr>
              <w:t>:</w:t>
            </w:r>
            <w:r>
              <w:rPr>
                <w:rFonts w:hint="eastAsia" w:ascii="仿宋_GB2312" w:hAnsi="宋体" w:cs="Times New Roman"/>
                <w:sz w:val="24"/>
                <w:szCs w:val="24"/>
                <w:shd w:val="clear" w:color="auto" w:fill="FFFFFF"/>
                <w:lang w:val="zh-CN"/>
              </w:rPr>
              <w:t>0</w:t>
            </w:r>
            <w:r>
              <w:rPr>
                <w:rFonts w:ascii="仿宋_GB2312" w:hAnsi="宋体" w:cs="Times New Roman"/>
                <w:sz w:val="24"/>
                <w:szCs w:val="24"/>
                <w:shd w:val="clear" w:color="auto" w:fill="FFFFFF"/>
                <w:lang w:val="zh-CN"/>
              </w:rPr>
              <w:t>0</w:t>
            </w:r>
          </w:p>
        </w:tc>
        <w:tc>
          <w:tcPr>
            <w:tcW w:w="2516" w:type="dxa"/>
            <w:vAlign w:val="center"/>
          </w:tcPr>
          <w:p>
            <w:pPr>
              <w:spacing w:line="240" w:lineRule="auto"/>
              <w:ind w:firstLine="0" w:firstLineChars="0"/>
              <w:jc w:val="center"/>
              <w:rPr>
                <w:rFonts w:ascii="仿宋_GB2312" w:hAnsi="宋体" w:eastAsia="仿宋_GB2312" w:cs="Times New Roman"/>
                <w:kern w:val="2"/>
                <w:sz w:val="24"/>
                <w:szCs w:val="24"/>
                <w:shd w:val="clear" w:color="auto" w:fill="FFFFFF"/>
                <w:lang w:val="zh-CN" w:eastAsia="zh-CN" w:bidi="ar-SA"/>
              </w:rPr>
            </w:pPr>
            <w:r>
              <w:rPr>
                <w:rFonts w:hint="eastAsia" w:ascii="仿宋_GB2312" w:hAnsi="宋体" w:cs="Times New Roman"/>
                <w:sz w:val="24"/>
                <w:szCs w:val="24"/>
                <w:shd w:val="clear" w:color="auto" w:fill="FFFFFF"/>
                <w:lang w:val="zh-CN"/>
              </w:rPr>
              <w:t>公布成绩</w:t>
            </w:r>
          </w:p>
        </w:tc>
        <w:tc>
          <w:tcPr>
            <w:tcW w:w="2523" w:type="dxa"/>
            <w:vAlign w:val="center"/>
          </w:tcPr>
          <w:p>
            <w:pPr>
              <w:shd w:val="solid" w:color="FFFFFF" w:fill="auto"/>
              <w:autoSpaceDN w:val="0"/>
              <w:spacing w:line="240" w:lineRule="auto"/>
              <w:ind w:firstLine="0" w:firstLineChars="0"/>
              <w:jc w:val="center"/>
              <w:rPr>
                <w:rFonts w:ascii="仿宋_GB2312" w:hAnsi="宋体" w:eastAsia="仿宋_GB2312" w:cs="Times New Roman"/>
                <w:kern w:val="2"/>
                <w:sz w:val="24"/>
                <w:szCs w:val="24"/>
                <w:shd w:val="clear" w:color="auto" w:fill="FFFFFF"/>
                <w:lang w:val="en-US" w:eastAsia="zh-CN" w:bidi="ar-SA"/>
              </w:rPr>
            </w:pPr>
            <w:r>
              <w:rPr>
                <w:rFonts w:hint="eastAsia" w:ascii="仿宋_GB2312" w:hAnsi="宋体" w:cs="Times New Roman"/>
                <w:sz w:val="24"/>
                <w:szCs w:val="24"/>
                <w:shd w:val="clear" w:color="auto" w:fill="FFFFFF"/>
              </w:rPr>
              <w:t>裁判、专家、监督、仲裁</w:t>
            </w:r>
          </w:p>
        </w:tc>
        <w:tc>
          <w:tcPr>
            <w:tcW w:w="1446" w:type="dxa"/>
            <w:vAlign w:val="center"/>
          </w:tcPr>
          <w:p>
            <w:pPr>
              <w:shd w:val="solid" w:color="FFFFFF" w:fill="auto"/>
              <w:autoSpaceDN w:val="0"/>
              <w:spacing w:line="240" w:lineRule="auto"/>
              <w:ind w:firstLine="0" w:firstLineChars="0"/>
              <w:jc w:val="center"/>
              <w:rPr>
                <w:rFonts w:ascii="仿宋_GB2312" w:hAnsi="宋体" w:eastAsia="仿宋_GB2312" w:cs="Times New Roman"/>
                <w:kern w:val="2"/>
                <w:sz w:val="24"/>
                <w:szCs w:val="24"/>
                <w:shd w:val="clear" w:color="auto" w:fill="FFFFFF"/>
                <w:lang w:val="en-US" w:eastAsia="zh-CN" w:bidi="ar-SA"/>
              </w:rPr>
            </w:pPr>
            <w:r>
              <w:rPr>
                <w:sz w:val="24"/>
                <w:shd w:val="clear" w:color="auto" w:fill="FFFFFF"/>
              </w:rPr>
              <w:t>会议室</w:t>
            </w:r>
          </w:p>
        </w:tc>
      </w:tr>
    </w:tbl>
    <w:p>
      <w:pPr>
        <w:pStyle w:val="3"/>
        <w:ind w:firstLine="562"/>
      </w:pPr>
      <w:r>
        <w:rPr>
          <w:rFonts w:hint="eastAsia"/>
        </w:rPr>
        <w:t>六、竞赛赛卷（样卷）</w:t>
      </w:r>
    </w:p>
    <w:p>
      <w:pPr>
        <w:ind w:firstLine="560"/>
      </w:pPr>
      <w:r>
        <w:rPr>
          <w:rFonts w:hint="eastAsia"/>
        </w:rPr>
        <w:t>本赛项包括商务数据分析、营销实战展示和情境营销三个模块。</w:t>
      </w:r>
    </w:p>
    <w:p>
      <w:pPr>
        <w:pStyle w:val="4"/>
        <w:ind w:firstLine="562"/>
      </w:pPr>
      <w:r>
        <w:rPr>
          <w:rFonts w:hint="eastAsia"/>
        </w:rPr>
        <w:t>（一）商务数据分析（15分）</w:t>
      </w:r>
    </w:p>
    <w:p>
      <w:pPr>
        <w:ind w:firstLine="560"/>
      </w:pPr>
      <w:r>
        <w:rPr>
          <w:rFonts w:hint="eastAsia"/>
        </w:rPr>
        <w:t>商务数据分析模块选择3e习商网等后台用户数据库完全开放的销售实战平台作为竞赛数据来源，允许使用Excel、Word、PowerPoint软件进行辅助操作。本模块每套赛卷包含填空题10分，图表题5分。样卷如下。</w:t>
      </w:r>
    </w:p>
    <w:p>
      <w:pPr>
        <w:ind w:firstLine="560"/>
      </w:pPr>
      <w:r>
        <w:rPr>
          <w:rFonts w:hint="eastAsia"/>
        </w:rPr>
        <w:t>山东商业职业技术学院、浙江商业职业技术学院、黑龙江职业学院及江苏财经职业技术学院四所院校的数字商业体验中心准备对方便面商品进行一次促销活动，为获取高职院校方便面商品的校园销售情况，特在以上四所院校进行了校园销售测试。请登录竞赛系统，根据统计数据进行数据处理。</w:t>
      </w:r>
    </w:p>
    <w:p>
      <w:pPr>
        <w:ind w:firstLine="560"/>
      </w:pPr>
      <w:r>
        <w:rPr>
          <w:rFonts w:hint="eastAsia"/>
        </w:rPr>
        <w:t>1．题目：请快速查询201</w:t>
      </w:r>
      <w:r>
        <w:t>9</w:t>
      </w:r>
      <w:r>
        <w:rPr>
          <w:rFonts w:hint="eastAsia"/>
        </w:rPr>
        <w:t>年3月9日至3月11日四所院校的数字商业体验中心所售下列方便面各品牌的总销售量。（每空</w:t>
      </w:r>
      <w:r>
        <w:t>1</w:t>
      </w:r>
      <w:r>
        <w:rPr>
          <w:rFonts w:hint="eastAsia"/>
        </w:rPr>
        <w:t>分，共</w:t>
      </w:r>
      <w:r>
        <w:t>4</w:t>
      </w:r>
      <w:r>
        <w:rPr>
          <w:rFonts w:hint="eastAsia"/>
        </w:rPr>
        <w:t>分）</w:t>
      </w:r>
    </w:p>
    <w:p>
      <w:pPr>
        <w:ind w:firstLine="0" w:firstLineChars="0"/>
        <w:jc w:val="center"/>
        <w:rPr>
          <w:rFonts w:cs="Times New Roman"/>
          <w:b/>
          <w:sz w:val="24"/>
          <w:szCs w:val="24"/>
        </w:rPr>
      </w:pPr>
      <w:r>
        <w:rPr>
          <w:rFonts w:cs="Times New Roman"/>
          <w:b/>
          <w:sz w:val="24"/>
          <w:szCs w:val="24"/>
        </w:rPr>
        <w:t>表1 四所院校方便面品牌2019年3月9日至3月11日总销量表</w:t>
      </w:r>
    </w:p>
    <w:tbl>
      <w:tblPr>
        <w:tblStyle w:val="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8"/>
        <w:gridCol w:w="4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8" w:type="dxa"/>
            <w:vAlign w:val="center"/>
          </w:tcPr>
          <w:p>
            <w:pPr>
              <w:spacing w:line="240" w:lineRule="auto"/>
              <w:ind w:firstLine="0" w:firstLineChars="0"/>
              <w:jc w:val="center"/>
              <w:rPr>
                <w:rFonts w:cs="Times New Roman"/>
                <w:b/>
                <w:sz w:val="24"/>
                <w:szCs w:val="24"/>
              </w:rPr>
            </w:pPr>
            <w:r>
              <w:rPr>
                <w:rFonts w:cs="Times New Roman"/>
                <w:b/>
                <w:sz w:val="24"/>
                <w:szCs w:val="24"/>
              </w:rPr>
              <w:t>品牌</w:t>
            </w:r>
          </w:p>
        </w:tc>
        <w:tc>
          <w:tcPr>
            <w:tcW w:w="4148" w:type="dxa"/>
            <w:vAlign w:val="center"/>
          </w:tcPr>
          <w:p>
            <w:pPr>
              <w:spacing w:line="240" w:lineRule="auto"/>
              <w:ind w:firstLine="0" w:firstLineChars="0"/>
              <w:jc w:val="center"/>
              <w:rPr>
                <w:rFonts w:cs="Times New Roman"/>
                <w:b/>
                <w:sz w:val="24"/>
                <w:szCs w:val="24"/>
              </w:rPr>
            </w:pPr>
            <w:r>
              <w:rPr>
                <w:rFonts w:cs="Times New Roman"/>
                <w:b/>
                <w:sz w:val="24"/>
                <w:szCs w:val="24"/>
              </w:rPr>
              <w:t>销量（件）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8" w:type="dxa"/>
            <w:vAlign w:val="center"/>
          </w:tcPr>
          <w:p>
            <w:pPr>
              <w:spacing w:line="240" w:lineRule="auto"/>
              <w:ind w:firstLine="0" w:firstLineChars="0"/>
              <w:jc w:val="center"/>
              <w:rPr>
                <w:rFonts w:cs="Times New Roman"/>
                <w:sz w:val="24"/>
                <w:szCs w:val="24"/>
              </w:rPr>
            </w:pPr>
            <w:r>
              <w:rPr>
                <w:rFonts w:cs="Times New Roman"/>
                <w:sz w:val="24"/>
                <w:szCs w:val="24"/>
              </w:rPr>
              <w:t>康师傅</w:t>
            </w:r>
          </w:p>
        </w:tc>
        <w:tc>
          <w:tcPr>
            <w:tcW w:w="4148"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8" w:type="dxa"/>
            <w:vAlign w:val="center"/>
          </w:tcPr>
          <w:p>
            <w:pPr>
              <w:spacing w:line="240" w:lineRule="auto"/>
              <w:ind w:firstLine="0" w:firstLineChars="0"/>
              <w:jc w:val="center"/>
              <w:rPr>
                <w:rFonts w:cs="Times New Roman"/>
                <w:sz w:val="24"/>
                <w:szCs w:val="24"/>
              </w:rPr>
            </w:pPr>
            <w:r>
              <w:rPr>
                <w:rFonts w:cs="Times New Roman"/>
                <w:sz w:val="24"/>
                <w:szCs w:val="24"/>
              </w:rPr>
              <w:t>统一</w:t>
            </w:r>
          </w:p>
        </w:tc>
        <w:tc>
          <w:tcPr>
            <w:tcW w:w="4148"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8" w:type="dxa"/>
            <w:vAlign w:val="center"/>
          </w:tcPr>
          <w:p>
            <w:pPr>
              <w:spacing w:line="240" w:lineRule="auto"/>
              <w:ind w:firstLine="0" w:firstLineChars="0"/>
              <w:jc w:val="center"/>
              <w:rPr>
                <w:rFonts w:cs="Times New Roman"/>
                <w:sz w:val="24"/>
                <w:szCs w:val="24"/>
              </w:rPr>
            </w:pPr>
            <w:r>
              <w:rPr>
                <w:rFonts w:cs="Times New Roman"/>
                <w:sz w:val="24"/>
                <w:szCs w:val="24"/>
              </w:rPr>
              <w:t>今麦郎</w:t>
            </w:r>
          </w:p>
        </w:tc>
        <w:tc>
          <w:tcPr>
            <w:tcW w:w="4148"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48" w:type="dxa"/>
            <w:vAlign w:val="center"/>
          </w:tcPr>
          <w:p>
            <w:pPr>
              <w:spacing w:line="240" w:lineRule="auto"/>
              <w:ind w:firstLine="0" w:firstLineChars="0"/>
              <w:jc w:val="center"/>
              <w:rPr>
                <w:rFonts w:cs="Times New Roman"/>
                <w:sz w:val="24"/>
                <w:szCs w:val="24"/>
              </w:rPr>
            </w:pPr>
            <w:r>
              <w:rPr>
                <w:rFonts w:cs="Times New Roman"/>
                <w:sz w:val="24"/>
                <w:szCs w:val="24"/>
              </w:rPr>
              <w:t>合计</w:t>
            </w:r>
          </w:p>
        </w:tc>
        <w:tc>
          <w:tcPr>
            <w:tcW w:w="4148"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bl>
    <w:p>
      <w:pPr>
        <w:ind w:firstLine="560"/>
      </w:pPr>
      <w:r>
        <w:rPr>
          <w:rFonts w:hint="eastAsia"/>
        </w:rPr>
        <w:t>2．题目：请查询黑龙江职业学院的数字商业体验中心所售方便面201</w:t>
      </w:r>
      <w:r>
        <w:t>9</w:t>
      </w:r>
      <w:r>
        <w:rPr>
          <w:rFonts w:hint="eastAsia"/>
        </w:rPr>
        <w:t>年3月9日至3月11日总销金额前3位的单品（单品是指商品分类中不能进一步细分的、完整独立的商品。例如：200毫升装飘柔滋润去屑洗发水），按次序排列，并填充下表。（每空</w:t>
      </w:r>
      <w:r>
        <w:t>1</w:t>
      </w:r>
      <w:r>
        <w:rPr>
          <w:rFonts w:hint="eastAsia"/>
        </w:rPr>
        <w:t>分，共</w:t>
      </w:r>
      <w:r>
        <w:t>6</w:t>
      </w:r>
      <w:r>
        <w:rPr>
          <w:rFonts w:hint="eastAsia"/>
        </w:rPr>
        <w:t>分）</w:t>
      </w:r>
    </w:p>
    <w:p>
      <w:pPr>
        <w:ind w:firstLine="0" w:firstLineChars="0"/>
        <w:jc w:val="center"/>
        <w:rPr>
          <w:rFonts w:cs="Times New Roman"/>
          <w:b/>
          <w:sz w:val="24"/>
          <w:szCs w:val="24"/>
        </w:rPr>
      </w:pPr>
      <w:r>
        <w:rPr>
          <w:rFonts w:cs="Times New Roman"/>
          <w:b/>
          <w:sz w:val="24"/>
          <w:szCs w:val="24"/>
        </w:rPr>
        <w:t>表2 黑龙江职业学院方便面单品2019年3月9日至3月11日销售额统计表</w:t>
      </w:r>
    </w:p>
    <w:tbl>
      <w:tblPr>
        <w:tblStyle w:val="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3834"/>
        <w:gridCol w:w="2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spacing w:line="240" w:lineRule="auto"/>
              <w:ind w:firstLine="0" w:firstLineChars="0"/>
              <w:jc w:val="center"/>
              <w:rPr>
                <w:rFonts w:cs="Times New Roman"/>
                <w:b/>
                <w:sz w:val="24"/>
                <w:szCs w:val="24"/>
              </w:rPr>
            </w:pPr>
          </w:p>
        </w:tc>
        <w:tc>
          <w:tcPr>
            <w:tcW w:w="3834" w:type="dxa"/>
            <w:vAlign w:val="center"/>
          </w:tcPr>
          <w:p>
            <w:pPr>
              <w:spacing w:line="240" w:lineRule="auto"/>
              <w:ind w:firstLine="0" w:firstLineChars="0"/>
              <w:jc w:val="center"/>
              <w:rPr>
                <w:rFonts w:cs="Times New Roman"/>
                <w:b/>
                <w:sz w:val="24"/>
                <w:szCs w:val="24"/>
              </w:rPr>
            </w:pPr>
            <w:r>
              <w:rPr>
                <w:rFonts w:cs="Times New Roman"/>
                <w:b/>
                <w:sz w:val="24"/>
                <w:szCs w:val="24"/>
              </w:rPr>
              <w:t>商品名称</w:t>
            </w:r>
          </w:p>
        </w:tc>
        <w:tc>
          <w:tcPr>
            <w:tcW w:w="2766" w:type="dxa"/>
            <w:vAlign w:val="center"/>
          </w:tcPr>
          <w:p>
            <w:pPr>
              <w:spacing w:line="240" w:lineRule="auto"/>
              <w:ind w:firstLine="0" w:firstLineChars="0"/>
              <w:jc w:val="center"/>
              <w:rPr>
                <w:rFonts w:cs="Times New Roman"/>
                <w:b/>
                <w:sz w:val="24"/>
                <w:szCs w:val="24"/>
              </w:rPr>
            </w:pPr>
            <w:r>
              <w:rPr>
                <w:rFonts w:cs="Times New Roman"/>
                <w:b/>
                <w:sz w:val="24"/>
                <w:szCs w:val="24"/>
              </w:rPr>
              <w:t>合计销量额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第一位</w:t>
            </w:r>
          </w:p>
        </w:tc>
        <w:tc>
          <w:tcPr>
            <w:tcW w:w="3834" w:type="dxa"/>
            <w:vAlign w:val="center"/>
          </w:tcPr>
          <w:p>
            <w:pPr>
              <w:spacing w:line="240" w:lineRule="auto"/>
              <w:ind w:firstLine="0" w:firstLineChars="0"/>
              <w:jc w:val="center"/>
              <w:rPr>
                <w:rFonts w:cs="Times New Roman"/>
                <w:sz w:val="24"/>
                <w:szCs w:val="24"/>
              </w:rPr>
            </w:pPr>
            <w:r>
              <w:rPr>
                <w:rFonts w:cs="Times New Roman"/>
                <w:sz w:val="24"/>
                <w:szCs w:val="24"/>
              </w:rPr>
              <w:t>（填空）</w:t>
            </w:r>
          </w:p>
        </w:tc>
        <w:tc>
          <w:tcPr>
            <w:tcW w:w="2766"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第二位</w:t>
            </w:r>
          </w:p>
        </w:tc>
        <w:tc>
          <w:tcPr>
            <w:tcW w:w="3834" w:type="dxa"/>
            <w:vAlign w:val="center"/>
          </w:tcPr>
          <w:p>
            <w:pPr>
              <w:spacing w:line="240" w:lineRule="auto"/>
              <w:ind w:firstLine="0" w:firstLineChars="0"/>
              <w:jc w:val="center"/>
              <w:rPr>
                <w:rFonts w:cs="Times New Roman"/>
                <w:sz w:val="24"/>
                <w:szCs w:val="24"/>
              </w:rPr>
            </w:pPr>
            <w:r>
              <w:rPr>
                <w:rFonts w:cs="Times New Roman"/>
                <w:sz w:val="24"/>
                <w:szCs w:val="24"/>
              </w:rPr>
              <w:t>（填空）</w:t>
            </w:r>
          </w:p>
        </w:tc>
        <w:tc>
          <w:tcPr>
            <w:tcW w:w="2766"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第三位</w:t>
            </w:r>
          </w:p>
        </w:tc>
        <w:tc>
          <w:tcPr>
            <w:tcW w:w="3834" w:type="dxa"/>
            <w:vAlign w:val="center"/>
          </w:tcPr>
          <w:p>
            <w:pPr>
              <w:spacing w:line="240" w:lineRule="auto"/>
              <w:ind w:firstLine="0" w:firstLineChars="0"/>
              <w:jc w:val="center"/>
              <w:rPr>
                <w:rFonts w:cs="Times New Roman"/>
                <w:sz w:val="24"/>
                <w:szCs w:val="24"/>
              </w:rPr>
            </w:pPr>
            <w:r>
              <w:rPr>
                <w:rFonts w:cs="Times New Roman"/>
                <w:sz w:val="24"/>
                <w:szCs w:val="24"/>
              </w:rPr>
              <w:t>（填空）</w:t>
            </w:r>
          </w:p>
        </w:tc>
        <w:tc>
          <w:tcPr>
            <w:tcW w:w="2766" w:type="dxa"/>
            <w:vAlign w:val="center"/>
          </w:tcPr>
          <w:p>
            <w:pPr>
              <w:spacing w:line="240" w:lineRule="auto"/>
              <w:ind w:firstLine="0" w:firstLineChars="0"/>
              <w:jc w:val="center"/>
              <w:rPr>
                <w:rFonts w:cs="Times New Roman"/>
                <w:sz w:val="24"/>
                <w:szCs w:val="24"/>
              </w:rPr>
            </w:pPr>
            <w:r>
              <w:rPr>
                <w:rFonts w:cs="Times New Roman"/>
                <w:sz w:val="24"/>
                <w:szCs w:val="24"/>
              </w:rPr>
              <w:t>（填空）</w:t>
            </w:r>
          </w:p>
        </w:tc>
      </w:tr>
    </w:tbl>
    <w:p>
      <w:pPr>
        <w:ind w:firstLine="560"/>
      </w:pPr>
      <w:r>
        <w:t>3</w:t>
      </w:r>
      <w:r>
        <w:rPr>
          <w:rFonts w:hint="eastAsia"/>
        </w:rPr>
        <w:t>．题目类型1：请做出黑龙江职业学院201</w:t>
      </w:r>
      <w:r>
        <w:t>9</w:t>
      </w:r>
      <w:r>
        <w:rPr>
          <w:rFonts w:hint="eastAsia"/>
        </w:rPr>
        <w:t>年3月9日至3月11日期间总销量前三位方便面单品的分析图表，图表要求是带数据标记的二维折线图。（3分）</w:t>
      </w:r>
    </w:p>
    <w:p>
      <w:pPr>
        <w:ind w:firstLine="560"/>
      </w:pPr>
      <w:r>
        <w:rPr>
          <w:rFonts w:hint="eastAsia"/>
        </w:rPr>
        <w:t>图表要求：</w:t>
      </w:r>
    </w:p>
    <w:p>
      <w:pPr>
        <w:ind w:firstLine="560"/>
      </w:pPr>
      <w:r>
        <w:rPr>
          <w:rFonts w:hint="eastAsia"/>
        </w:rPr>
        <w:t>①图表标题为“黑龙江职业学院方便面销量前三位走势图（201</w:t>
      </w:r>
      <w:r>
        <w:t>9</w:t>
      </w:r>
      <w:r>
        <w:rPr>
          <w:rFonts w:hint="eastAsia"/>
        </w:rPr>
        <w:t>0309-201</w:t>
      </w:r>
      <w:r>
        <w:t>9</w:t>
      </w:r>
      <w:r>
        <w:rPr>
          <w:rFonts w:hint="eastAsia"/>
        </w:rPr>
        <w:t>0311）”。</w:t>
      </w:r>
    </w:p>
    <w:p>
      <w:pPr>
        <w:ind w:firstLine="560"/>
      </w:pPr>
      <w:r>
        <w:rPr>
          <w:rFonts w:hint="eastAsia"/>
        </w:rPr>
        <w:t>②横坐标轴为日期（格式为XX月XX日）；横坐标标题为：日期；纵坐标标题为：销量。</w:t>
      </w:r>
    </w:p>
    <w:p>
      <w:pPr>
        <w:ind w:firstLine="560"/>
      </w:pPr>
      <w:r>
        <w:rPr>
          <w:rFonts w:hint="eastAsia"/>
        </w:rPr>
        <w:t>③有图例项，底部显示图例，表明所对比的单品的名称。</w:t>
      </w:r>
    </w:p>
    <w:p>
      <w:pPr>
        <w:ind w:firstLine="560"/>
      </w:pPr>
      <w:r>
        <w:rPr>
          <w:rFonts w:hint="eastAsia"/>
        </w:rPr>
        <w:t>④有数据标签，表明所对比的单品的日销售量。</w:t>
      </w:r>
    </w:p>
    <w:p>
      <w:pPr>
        <w:ind w:firstLine="560"/>
      </w:pPr>
      <w:r>
        <w:rPr>
          <w:rFonts w:hint="eastAsia"/>
        </w:rPr>
        <w:t>题目类型2：请做出黑龙江职业学院201</w:t>
      </w:r>
      <w:r>
        <w:t>9</w:t>
      </w:r>
      <w:r>
        <w:rPr>
          <w:rFonts w:hint="eastAsia"/>
        </w:rPr>
        <w:t>年3月9日至3月11日期间总销量前三位方便面单品的分析图表，图表要求是百分比堆积柱形图。（3分）</w:t>
      </w:r>
    </w:p>
    <w:p>
      <w:pPr>
        <w:ind w:firstLine="560"/>
      </w:pPr>
      <w:r>
        <w:rPr>
          <w:rFonts w:hint="eastAsia"/>
        </w:rPr>
        <w:t>①图表标题为“黑龙江职业学院方便面销售总量前三位对比柱形图（201</w:t>
      </w:r>
      <w:r>
        <w:t>9</w:t>
      </w:r>
      <w:r>
        <w:rPr>
          <w:rFonts w:hint="eastAsia"/>
        </w:rPr>
        <w:t>0309-201</w:t>
      </w:r>
      <w:r>
        <w:t>9</w:t>
      </w:r>
      <w:r>
        <w:rPr>
          <w:rFonts w:hint="eastAsia"/>
        </w:rPr>
        <w:t>0311）”。</w:t>
      </w:r>
    </w:p>
    <w:p>
      <w:pPr>
        <w:ind w:firstLine="560"/>
      </w:pPr>
      <w:r>
        <w:rPr>
          <w:rFonts w:hint="eastAsia"/>
        </w:rPr>
        <w:t>②横坐标轴为日期（格式为XXXX年XX月XX日）；纵坐标轴为占比，格式为百分比，以10%为主要刻度单位，小数位数为0。</w:t>
      </w:r>
    </w:p>
    <w:p>
      <w:pPr>
        <w:ind w:firstLine="560"/>
      </w:pPr>
      <w:r>
        <w:rPr>
          <w:rFonts w:hint="eastAsia"/>
        </w:rPr>
        <w:t>③有图例项，底部显示图例，表明所对比的单品的名称。</w:t>
      </w:r>
    </w:p>
    <w:p>
      <w:pPr>
        <w:ind w:firstLine="560"/>
      </w:pPr>
      <w:r>
        <w:rPr>
          <w:rFonts w:hint="eastAsia"/>
        </w:rPr>
        <w:t>④有数据标签，数据标签位置居中，表明所对比的单品的日销量。</w:t>
      </w:r>
    </w:p>
    <w:p>
      <w:pPr>
        <w:ind w:firstLine="560"/>
      </w:pPr>
      <w:r>
        <w:rPr>
          <w:rFonts w:hint="eastAsia"/>
        </w:rPr>
        <w:t>题目类型3：请做出黑龙江职业学院康师傅方便面201</w:t>
      </w:r>
      <w:r>
        <w:t>9</w:t>
      </w:r>
      <w:r>
        <w:rPr>
          <w:rFonts w:hint="eastAsia"/>
        </w:rPr>
        <w:t>年3月9日至3月11日与201</w:t>
      </w:r>
      <w:r>
        <w:t>8</w:t>
      </w:r>
      <w:r>
        <w:rPr>
          <w:rFonts w:hint="eastAsia"/>
        </w:rPr>
        <w:t>年同期的日销量变化，做出销量变化分析图，要求用簇状柱形图表示差额；用带数据标记的折线图表示增长率。（3分）</w:t>
      </w:r>
    </w:p>
    <w:p>
      <w:pPr>
        <w:ind w:firstLine="560"/>
      </w:pPr>
      <w:r>
        <w:rPr>
          <w:rFonts w:hint="eastAsia"/>
        </w:rPr>
        <w:t>图表要求：</w:t>
      </w:r>
    </w:p>
    <w:p>
      <w:pPr>
        <w:ind w:firstLine="560"/>
      </w:pPr>
      <w:r>
        <w:rPr>
          <w:rFonts w:hint="eastAsia"/>
        </w:rPr>
        <w:t>①图表标题为“黑龙江职业学院康师傅方便面销量变化分析图（201</w:t>
      </w:r>
      <w:r>
        <w:t>9</w:t>
      </w:r>
      <w:r>
        <w:rPr>
          <w:rFonts w:hint="eastAsia"/>
        </w:rPr>
        <w:t>0309-201</w:t>
      </w:r>
      <w:r>
        <w:t>9</w:t>
      </w:r>
      <w:r>
        <w:rPr>
          <w:rFonts w:hint="eastAsia"/>
        </w:rPr>
        <w:t>0311）”。</w:t>
      </w:r>
    </w:p>
    <w:p>
      <w:pPr>
        <w:ind w:firstLine="560"/>
      </w:pPr>
      <w:r>
        <w:rPr>
          <w:rFonts w:hint="eastAsia"/>
        </w:rPr>
        <w:t>②横坐标轴为日期（格式为XX月XX日），轴标签位置为低；纵坐标轴的主坐标轴为差额，次坐标轴为增长率，格式为百分比，小数位数为0。</w:t>
      </w:r>
    </w:p>
    <w:p>
      <w:pPr>
        <w:ind w:firstLine="560"/>
      </w:pPr>
      <w:r>
        <w:rPr>
          <w:rFonts w:hint="eastAsia"/>
        </w:rPr>
        <w:t>③有图例项，底部显示图例，表明差额与增长率。</w:t>
      </w:r>
    </w:p>
    <w:p>
      <w:pPr>
        <w:ind w:firstLine="560"/>
      </w:pPr>
      <w:r>
        <w:rPr>
          <w:rFonts w:hint="eastAsia"/>
        </w:rPr>
        <w:t>④有数据标签，表明销量增长率（以百分比表示，保留两位小数，四舍五入）。</w:t>
      </w:r>
    </w:p>
    <w:p>
      <w:pPr>
        <w:ind w:firstLine="560"/>
      </w:pPr>
      <w:r>
        <w:t>4</w:t>
      </w:r>
      <w:r>
        <w:rPr>
          <w:rFonts w:hint="eastAsia"/>
        </w:rPr>
        <w:t>．题目类型1：请做出四所院校的数字商业体验中心所售方便面各品牌201</w:t>
      </w:r>
      <w:r>
        <w:t>9</w:t>
      </w:r>
      <w:r>
        <w:rPr>
          <w:rFonts w:hint="eastAsia"/>
        </w:rPr>
        <w:t>年3月9日至3月11日的总销售额市场占有率的簇状柱形图。（2分）</w:t>
      </w:r>
    </w:p>
    <w:p>
      <w:pPr>
        <w:ind w:firstLine="560"/>
      </w:pPr>
      <w:r>
        <w:rPr>
          <w:rFonts w:hint="eastAsia"/>
        </w:rPr>
        <w:t>图表要求：</w:t>
      </w:r>
    </w:p>
    <w:p>
      <w:pPr>
        <w:ind w:firstLine="560"/>
      </w:pPr>
      <w:r>
        <w:rPr>
          <w:rFonts w:hint="eastAsia"/>
        </w:rPr>
        <w:t>①图表标题为“四所院校方便面各品牌市场占有率比较（201</w:t>
      </w:r>
      <w:r>
        <w:t>9</w:t>
      </w:r>
      <w:r>
        <w:rPr>
          <w:rFonts w:hint="eastAsia"/>
        </w:rPr>
        <w:t>0309-201</w:t>
      </w:r>
      <w:r>
        <w:t>9</w:t>
      </w:r>
      <w:r>
        <w:rPr>
          <w:rFonts w:hint="eastAsia"/>
        </w:rPr>
        <w:t>0311）”。</w:t>
      </w:r>
    </w:p>
    <w:p>
      <w:pPr>
        <w:ind w:firstLine="560"/>
      </w:pPr>
      <w:r>
        <w:rPr>
          <w:rFonts w:hint="eastAsia"/>
        </w:rPr>
        <w:t>②有图例项，右侧显示图例项，表明所对比的品牌的名称。</w:t>
      </w:r>
    </w:p>
    <w:p>
      <w:pPr>
        <w:ind w:firstLine="560"/>
      </w:pPr>
      <w:r>
        <w:rPr>
          <w:rFonts w:hint="eastAsia"/>
        </w:rPr>
        <w:t>③纵坐标轴为占比，格式为百分比，小数位数为0。</w:t>
      </w:r>
    </w:p>
    <w:p>
      <w:pPr>
        <w:ind w:firstLine="560"/>
      </w:pPr>
      <w:r>
        <w:rPr>
          <w:rFonts w:hint="eastAsia"/>
        </w:rPr>
        <w:t>题目类型2：请做出浙江商业职业技术学院的数字商业体验中心所售方便面各品牌201</w:t>
      </w:r>
      <w:r>
        <w:t>9</w:t>
      </w:r>
      <w:r>
        <w:rPr>
          <w:rFonts w:hint="eastAsia"/>
        </w:rPr>
        <w:t>年3月9日至3月13日的日销售量雷达图，雷达图需将数据表格一并上传。（2分）</w:t>
      </w:r>
    </w:p>
    <w:p>
      <w:pPr>
        <w:ind w:firstLine="560"/>
      </w:pPr>
      <w:r>
        <w:rPr>
          <w:rFonts w:hint="eastAsia"/>
        </w:rPr>
        <w:t>图表要求：</w:t>
      </w:r>
    </w:p>
    <w:p>
      <w:pPr>
        <w:ind w:firstLine="560"/>
      </w:pPr>
      <w:r>
        <w:rPr>
          <w:rFonts w:hint="eastAsia"/>
        </w:rPr>
        <w:t>①图表标题为“浙江商业职业技术学院方便面各品牌销售雷达图（201</w:t>
      </w:r>
      <w:r>
        <w:t>9</w:t>
      </w:r>
      <w:r>
        <w:rPr>
          <w:rFonts w:hint="eastAsia"/>
        </w:rPr>
        <w:t>0309-201</w:t>
      </w:r>
      <w:r>
        <w:t>9</w:t>
      </w:r>
      <w:r>
        <w:rPr>
          <w:rFonts w:hint="eastAsia"/>
        </w:rPr>
        <w:t>0313）”。</w:t>
      </w:r>
    </w:p>
    <w:p>
      <w:pPr>
        <w:ind w:firstLine="560"/>
      </w:pPr>
      <w:r>
        <w:rPr>
          <w:rFonts w:hint="eastAsia"/>
        </w:rPr>
        <w:t>②有图例项，右侧显示图例，表明所对比的品牌名称。</w:t>
      </w:r>
    </w:p>
    <w:p>
      <w:pPr>
        <w:ind w:firstLine="560"/>
      </w:pPr>
      <w:r>
        <w:rPr>
          <w:rFonts w:hint="eastAsia"/>
        </w:rPr>
        <w:t>③有分类标签，表明所对比的日期。</w:t>
      </w:r>
    </w:p>
    <w:p>
      <w:pPr>
        <w:ind w:firstLine="560"/>
      </w:pPr>
      <w:r>
        <w:rPr>
          <w:rFonts w:hint="eastAsia"/>
        </w:rPr>
        <w:t>④雷达轴以20为主要刻度单位。</w:t>
      </w:r>
    </w:p>
    <w:p>
      <w:pPr>
        <w:pStyle w:val="4"/>
        <w:ind w:firstLine="562"/>
      </w:pPr>
      <w:r>
        <w:rPr>
          <w:rFonts w:hint="eastAsia"/>
        </w:rPr>
        <w:t>（二）营销实战展示（15分）</w:t>
      </w:r>
    </w:p>
    <w:p>
      <w:pPr>
        <w:ind w:firstLine="560"/>
      </w:pPr>
      <w:r>
        <w:rPr>
          <w:rFonts w:hint="eastAsia"/>
        </w:rPr>
        <w:t>参赛院校在真实市场环境中进行真实营销典型职业活动，于竞赛当天在赛场完成活动方案和过程管理的总结文案，并按要求借助PPT进行现场汇报，允许使用Excel、Word、PowerPoint软件进行辅助操作。本模块赛题库由“市场调研实战”、“产品促销实战”、“全渠道推广实战”三种题目类型组成，选取不同企业产品形成</w:t>
      </w:r>
      <w:r>
        <w:t>10</w:t>
      </w:r>
      <w:r>
        <w:rPr>
          <w:rFonts w:hint="eastAsia"/>
        </w:rPr>
        <w:t>套赛卷，于赛前发布。竞赛当日裁判抽取一套赛卷装入系统作为正式赛卷，另外抽取一套赛卷作为备用赛卷。样卷如下。</w:t>
      </w:r>
    </w:p>
    <w:p>
      <w:pPr>
        <w:ind w:firstLine="560"/>
      </w:pPr>
      <w:r>
        <w:rPr>
          <w:rFonts w:hint="eastAsia"/>
        </w:rPr>
        <w:t>题目类型一：市场调研实战</w:t>
      </w:r>
    </w:p>
    <w:p>
      <w:pPr>
        <w:ind w:firstLine="560"/>
      </w:pPr>
      <w:r>
        <w:rPr>
          <w:rFonts w:hint="eastAsia"/>
        </w:rPr>
        <w:t>1．企业及产品资料</w:t>
      </w:r>
    </w:p>
    <w:p>
      <w:pPr>
        <w:ind w:firstLine="560"/>
      </w:pPr>
      <w:r>
        <w:rPr>
          <w:rFonts w:hint="eastAsia"/>
        </w:rPr>
        <w:t>山东文正衣品股份有限公司座落于山东省日照市莒县经济开发区。公司拥有两万平米的现代化标准厂房，千余台先进的电脑缝制设备，二十多家分厂，近千名员工，年生产能力达五百万（件）套，出口额一直领先日照市服装行业。主要产品有精品时装、休闲装、制服工装、校服、医护服装等十几个系列。</w:t>
      </w:r>
    </w:p>
    <w:p>
      <w:pPr>
        <w:ind w:firstLine="560"/>
      </w:pPr>
      <w:r>
        <w:rPr>
          <w:rFonts w:hint="eastAsia"/>
        </w:rPr>
        <w:t>2014年12月，“文正股份”成功登陆“新三板”市场，成为莒县第一家、日照市第三家在“新三板”挂牌上市的企业。上市后，文正衣品迅速进入资本市场，拓宽了融资渠道，完善了公司资本构成，为实现公司更快更好的发展奠定了更坚实的基础。公司以此为契机，走上了机制创新、产品创新的快车道，力争在三年内放大产业格局，实现商业模式的再次升级与转变。</w:t>
      </w:r>
    </w:p>
    <w:p>
      <w:pPr>
        <w:ind w:firstLine="560"/>
      </w:pPr>
      <w:r>
        <w:rPr>
          <w:rFonts w:hint="eastAsia"/>
        </w:rPr>
        <w:t>目前文正衣品计划开拓大学生校园市场，主要考虑了三种服装类别：商务正装、牛仔类休闲装和其他类休闲装。</w:t>
      </w:r>
    </w:p>
    <w:p>
      <w:pPr>
        <w:ind w:firstLine="560"/>
      </w:pPr>
      <w:r>
        <w:rPr>
          <w:rFonts w:hint="eastAsia"/>
        </w:rPr>
        <w:t>2．请在赛前1个月内，设计市场调研方案并实施，确定文正衣品校园市场主营服装类别，并了解该服装类别下的消费者需求偏好等，为该企业开拓校园市场提供决策依据。</w:t>
      </w:r>
    </w:p>
    <w:p>
      <w:pPr>
        <w:ind w:firstLine="560"/>
      </w:pPr>
      <w:r>
        <w:rPr>
          <w:rFonts w:hint="eastAsia"/>
        </w:rPr>
        <w:t>3．请在竞赛当日1小时内，借助Word完成市场调研方案撰写，借助PowerPoint完成调研活动实施汇报PPT。</w:t>
      </w:r>
    </w:p>
    <w:p>
      <w:pPr>
        <w:ind w:firstLine="560"/>
      </w:pPr>
      <w:r>
        <w:rPr>
          <w:rFonts w:hint="eastAsia"/>
        </w:rPr>
        <w:t>要求：</w:t>
      </w:r>
    </w:p>
    <w:p>
      <w:pPr>
        <w:ind w:firstLine="560"/>
      </w:pPr>
      <w:r>
        <w:rPr>
          <w:rFonts w:hint="eastAsia"/>
        </w:rPr>
        <w:t>（1）Word文案</w:t>
      </w:r>
    </w:p>
    <w:p>
      <w:pPr>
        <w:ind w:firstLine="560"/>
      </w:pPr>
      <w:r>
        <w:rPr>
          <w:rFonts w:hint="eastAsia"/>
        </w:rPr>
        <w:t>包含但不限于以下几个方面：调研范围及目的、调研方法、与调研方法对应的物料准备、样本数量、调研安排、突发事件处理等。</w:t>
      </w:r>
    </w:p>
    <w:p>
      <w:pPr>
        <w:ind w:firstLine="560"/>
      </w:pPr>
      <w:r>
        <w:rPr>
          <w:rFonts w:hint="eastAsia"/>
        </w:rPr>
        <w:t>（2）PPT文案</w:t>
      </w:r>
    </w:p>
    <w:p>
      <w:pPr>
        <w:ind w:firstLine="560"/>
      </w:pPr>
      <w:r>
        <w:rPr>
          <w:rFonts w:hint="eastAsia"/>
        </w:rPr>
        <w:t>主要针对市场调研实施情况进行总结，包含但不限于以下几个方面：调研方案简介、分工协调、实施过程控制、总结分析（包括调研结果和活动总结）等。</w:t>
      </w:r>
    </w:p>
    <w:p>
      <w:pPr>
        <w:ind w:firstLine="560"/>
      </w:pPr>
      <w:r>
        <w:rPr>
          <w:rFonts w:hint="eastAsia"/>
        </w:rPr>
        <w:t>4．按抽签顺序依次进入汇报场地进行展示汇报（不超过5分钟）。</w:t>
      </w:r>
    </w:p>
    <w:p>
      <w:pPr>
        <w:ind w:firstLine="560"/>
      </w:pPr>
      <w:r>
        <w:rPr>
          <w:rFonts w:hint="eastAsia"/>
        </w:rPr>
        <w:t>要求：</w:t>
      </w:r>
    </w:p>
    <w:p>
      <w:pPr>
        <w:ind w:firstLine="560"/>
      </w:pPr>
      <w:r>
        <w:rPr>
          <w:rFonts w:hint="eastAsia"/>
        </w:rPr>
        <w:t>（1）普通话标准，口齿清晰，表达流利，声音洪亮，节奏适中；无明显的停顿、磕巴；在规定时间内团队2人以上共同完成展示陈述任务。</w:t>
      </w:r>
    </w:p>
    <w:p>
      <w:pPr>
        <w:ind w:firstLine="560"/>
      </w:pPr>
      <w:r>
        <w:rPr>
          <w:rFonts w:hint="eastAsia"/>
        </w:rPr>
        <w:t>（2）团队衣着整洁，在汇报过程中表情自然大方，注意基本的礼仪，能够尊重评委，文明用语。</w:t>
      </w:r>
    </w:p>
    <w:p>
      <w:pPr>
        <w:ind w:firstLine="560"/>
      </w:pPr>
      <w:r>
        <w:rPr>
          <w:rFonts w:hint="eastAsia"/>
        </w:rPr>
        <w:t>（3）在文案作品及学生汇报过程中不得出现任何学校名称、选手姓名等可暴露参赛选手身份的相关信息。</w:t>
      </w:r>
    </w:p>
    <w:p>
      <w:pPr>
        <w:ind w:firstLine="560"/>
      </w:pPr>
      <w:r>
        <w:rPr>
          <w:rFonts w:hint="eastAsia"/>
        </w:rPr>
        <w:t>题目类型二：产品促销实战</w:t>
      </w:r>
    </w:p>
    <w:p>
      <w:pPr>
        <w:ind w:firstLine="560"/>
      </w:pPr>
      <w:r>
        <w:rPr>
          <w:rFonts w:hint="eastAsia"/>
        </w:rPr>
        <w:t>1．企业及产品资料</w:t>
      </w:r>
    </w:p>
    <w:p>
      <w:pPr>
        <w:ind w:firstLine="560"/>
      </w:pPr>
      <w:r>
        <w:rPr>
          <w:rFonts w:hint="eastAsia"/>
        </w:rPr>
        <w:t>山东文正衣品股份有限公司座落于山东省日照市莒县经济开发区。公司拥有两万平米的现代化标准厂房，千余台先进的电脑缝制设备，二十多家分厂，近千名员工，年生产能力达五百万（件）套，出口额一直领先日照市服装行业。主要产品有精品时装、休闲装、制服工装、校服、医护服装等十几个系列。</w:t>
      </w:r>
    </w:p>
    <w:p>
      <w:pPr>
        <w:ind w:firstLine="560"/>
      </w:pPr>
      <w:r>
        <w:rPr>
          <w:rFonts w:hint="eastAsia"/>
        </w:rPr>
        <w:t>2014年12月，“文正股份”成功登陆“新三板”市场，成为莒县第一家、日照市第三家在“新三板”挂牌上市的企业。上市后，文正衣品迅速进入资本市场，拓宽了融资渠道，完善了公司资本构成，为实现公司更快更好的发展奠定了更坚实的基础。公司以此为契机，走上了机制创新、产品创新的快车道，力争在三年内放大产业格局，实现商业模式的再次升级与转变。</w:t>
      </w:r>
    </w:p>
    <w:p>
      <w:pPr>
        <w:spacing w:line="240" w:lineRule="auto"/>
        <w:ind w:right="112" w:rightChars="40" w:firstLine="0" w:firstLineChars="0"/>
        <w:jc w:val="center"/>
        <w:rPr>
          <w:rFonts w:ascii="仿宋_GB2312" w:hAnsi="宋体"/>
          <w:szCs w:val="28"/>
        </w:rPr>
      </w:pPr>
      <w:r>
        <w:rPr>
          <w:rFonts w:hint="eastAsia" w:ascii="仿宋_GB2312" w:hAnsi="宋体"/>
          <w:szCs w:val="28"/>
        </w:rPr>
        <w:drawing>
          <wp:inline distT="0" distB="0" distL="0" distR="0">
            <wp:extent cx="1598295" cy="2190750"/>
            <wp:effectExtent l="0" t="0" r="1905" b="0"/>
            <wp:docPr id="1" name="图片 1" descr="文正衣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正衣服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616614" cy="2215467"/>
                    </a:xfrm>
                    <a:prstGeom prst="rect">
                      <a:avLst/>
                    </a:prstGeom>
                  </pic:spPr>
                </pic:pic>
              </a:graphicData>
            </a:graphic>
          </wp:inline>
        </w:drawing>
      </w:r>
      <w:r>
        <w:rPr>
          <w:rFonts w:hint="eastAsia" w:ascii="仿宋_GB2312" w:hAnsi="宋体"/>
          <w:szCs w:val="28"/>
        </w:rPr>
        <w:drawing>
          <wp:inline distT="0" distB="0" distL="0" distR="0">
            <wp:extent cx="1690370" cy="2190115"/>
            <wp:effectExtent l="0" t="0" r="5080" b="635"/>
            <wp:docPr id="19" name="图片 19" descr="144155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44155UP"/>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14906" cy="2221649"/>
                    </a:xfrm>
                    <a:prstGeom prst="rect">
                      <a:avLst/>
                    </a:prstGeom>
                  </pic:spPr>
                </pic:pic>
              </a:graphicData>
            </a:graphic>
          </wp:inline>
        </w:drawing>
      </w:r>
      <w:r>
        <w:rPr>
          <w:rFonts w:hint="eastAsia" w:ascii="仿宋_GB2312" w:hAnsi="宋体"/>
          <w:szCs w:val="28"/>
        </w:rPr>
        <w:drawing>
          <wp:inline distT="0" distB="0" distL="0" distR="0">
            <wp:extent cx="1314450" cy="2195195"/>
            <wp:effectExtent l="0" t="0" r="0" b="0"/>
            <wp:docPr id="20" name="图片 20" descr="1432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4323583"/>
                    <pic:cNvPicPr>
                      <a:picLocks noChangeAspect="1"/>
                    </pic:cNvPicPr>
                  </pic:nvPicPr>
                  <pic:blipFill>
                    <a:blip r:embed="rId12">
                      <a:extLst>
                        <a:ext uri="{28A0092B-C50C-407E-A947-70E740481C1C}">
                          <a14:useLocalDpi xmlns:a14="http://schemas.microsoft.com/office/drawing/2010/main" val="0"/>
                        </a:ext>
                      </a:extLst>
                    </a:blip>
                    <a:srcRect r="39144"/>
                    <a:stretch>
                      <a:fillRect/>
                    </a:stretch>
                  </pic:blipFill>
                  <pic:spPr>
                    <a:xfrm>
                      <a:off x="0" y="0"/>
                      <a:ext cx="1314450" cy="2195299"/>
                    </a:xfrm>
                    <a:prstGeom prst="rect">
                      <a:avLst/>
                    </a:prstGeom>
                    <a:ln>
                      <a:noFill/>
                    </a:ln>
                  </pic:spPr>
                </pic:pic>
              </a:graphicData>
            </a:graphic>
          </wp:inline>
        </w:drawing>
      </w:r>
    </w:p>
    <w:p>
      <w:pPr>
        <w:spacing w:line="240" w:lineRule="auto"/>
        <w:ind w:left="280" w:right="6" w:rightChars="2" w:hanging="280" w:hangingChars="100"/>
        <w:jc w:val="center"/>
        <w:rPr>
          <w:rFonts w:ascii="仿宋_GB2312" w:hAnsi="宋体"/>
          <w:szCs w:val="28"/>
        </w:rPr>
      </w:pPr>
      <w:r>
        <w:drawing>
          <wp:inline distT="0" distB="0" distL="0" distR="0">
            <wp:extent cx="4599305" cy="25908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3"/>
                    <a:stretch>
                      <a:fillRect/>
                    </a:stretch>
                  </pic:blipFill>
                  <pic:spPr>
                    <a:xfrm>
                      <a:off x="0" y="0"/>
                      <a:ext cx="4610754" cy="2597078"/>
                    </a:xfrm>
                    <a:prstGeom prst="rect">
                      <a:avLst/>
                    </a:prstGeom>
                  </pic:spPr>
                </pic:pic>
              </a:graphicData>
            </a:graphic>
          </wp:inline>
        </w:drawing>
      </w:r>
    </w:p>
    <w:p>
      <w:pPr>
        <w:ind w:firstLine="560"/>
      </w:pPr>
      <w:r>
        <w:rPr>
          <w:rFonts w:hint="eastAsia"/>
        </w:rPr>
        <w:t>2．请在赛前1个月内，针对本校市场进行文正衣品促销活动策划，并进行为期至少一个星期的促销活动实施。</w:t>
      </w:r>
    </w:p>
    <w:p>
      <w:pPr>
        <w:ind w:firstLine="560"/>
      </w:pPr>
      <w:r>
        <w:rPr>
          <w:rFonts w:hint="eastAsia"/>
        </w:rPr>
        <w:t>3．请在竞赛当日1小时内，借助Word完成促销活动策划方案撰写，借助PowerPoint完成促销活动实施汇报PPT。</w:t>
      </w:r>
    </w:p>
    <w:p>
      <w:pPr>
        <w:ind w:firstLine="560"/>
      </w:pPr>
      <w:r>
        <w:rPr>
          <w:rFonts w:hint="eastAsia"/>
        </w:rPr>
        <w:t>要求：</w:t>
      </w:r>
    </w:p>
    <w:p>
      <w:pPr>
        <w:ind w:firstLine="560"/>
      </w:pPr>
      <w:r>
        <w:rPr>
          <w:rFonts w:hint="eastAsia"/>
        </w:rPr>
        <w:t>（1）Word文案</w:t>
      </w:r>
    </w:p>
    <w:p>
      <w:pPr>
        <w:ind w:firstLine="560"/>
      </w:pPr>
      <w:r>
        <w:rPr>
          <w:rFonts w:hint="eastAsia"/>
        </w:rPr>
        <w:t>主要针对促销活动策划方案进行撰写，包含但不限于以下几个方面：市场分析、活动目的、目标人群、活动时间、活动主题、活动方式、活动的推广方式、人员安排与组织、费用预算等。</w:t>
      </w:r>
    </w:p>
    <w:p>
      <w:pPr>
        <w:ind w:firstLine="560"/>
      </w:pPr>
      <w:r>
        <w:rPr>
          <w:rFonts w:hint="eastAsia"/>
        </w:rPr>
        <w:t>（2）PPT文案</w:t>
      </w:r>
    </w:p>
    <w:p>
      <w:pPr>
        <w:ind w:firstLine="560"/>
      </w:pPr>
      <w:r>
        <w:rPr>
          <w:rFonts w:hint="eastAsia"/>
        </w:rPr>
        <w:t>主要针对实施效果进行总结，包含但不限于以下几个方面：活动策划方案简介、分工协调、实施过程控制、总结分析（包括促销效果和活动总结）等。</w:t>
      </w:r>
    </w:p>
    <w:p>
      <w:pPr>
        <w:ind w:firstLine="560"/>
      </w:pPr>
      <w:r>
        <w:rPr>
          <w:rFonts w:hint="eastAsia"/>
        </w:rPr>
        <w:t>4．按抽签顺序依次进入汇报场地进行展示汇报（不超过5分钟）。</w:t>
      </w:r>
    </w:p>
    <w:p>
      <w:pPr>
        <w:ind w:firstLine="560"/>
      </w:pPr>
      <w:r>
        <w:rPr>
          <w:rFonts w:hint="eastAsia"/>
        </w:rPr>
        <w:t>要求：</w:t>
      </w:r>
    </w:p>
    <w:p>
      <w:pPr>
        <w:ind w:firstLine="560"/>
      </w:pPr>
      <w:r>
        <w:rPr>
          <w:rFonts w:hint="eastAsia"/>
        </w:rPr>
        <w:t>（1）普通话标准，口齿清晰，表达流利，声音洪亮，节奏适中；无明显的停顿、磕巴；在规定时间内团队2人以上共同完成展示陈述任务。</w:t>
      </w:r>
    </w:p>
    <w:p>
      <w:pPr>
        <w:ind w:firstLine="560"/>
      </w:pPr>
      <w:r>
        <w:rPr>
          <w:rFonts w:hint="eastAsia"/>
        </w:rPr>
        <w:t>（2）团队衣着整洁，在汇报过程中表情自然大方，注意基本的礼仪，能够尊重评委，文明用语。</w:t>
      </w:r>
    </w:p>
    <w:p>
      <w:pPr>
        <w:ind w:firstLine="560"/>
      </w:pPr>
      <w:r>
        <w:rPr>
          <w:rFonts w:hint="eastAsia"/>
        </w:rPr>
        <w:t>（3）在文案作品及学生汇报过程中不得出现任何学校名称、选手姓名等可暴露参赛选手身份的相关信息。</w:t>
      </w:r>
    </w:p>
    <w:p>
      <w:pPr>
        <w:ind w:firstLine="560"/>
      </w:pPr>
      <w:r>
        <w:rPr>
          <w:rFonts w:hint="eastAsia"/>
        </w:rPr>
        <w:t>题目类型三：全渠道推广实战</w:t>
      </w:r>
    </w:p>
    <w:p>
      <w:pPr>
        <w:ind w:firstLine="560"/>
      </w:pPr>
      <w:r>
        <w:rPr>
          <w:rFonts w:hint="eastAsia"/>
        </w:rPr>
        <w:t>1．企业及产品资料</w:t>
      </w:r>
    </w:p>
    <w:p>
      <w:pPr>
        <w:ind w:firstLine="560"/>
      </w:pPr>
      <w:r>
        <w:rPr>
          <w:rFonts w:hint="eastAsia"/>
        </w:rPr>
        <w:t>山东文正衣品股份有限公司座落于山东省日照市莒县经济开发区。公司拥有两万平米的现代化标准厂房，千余台先进的电脑缝制设备，二十多家分厂，近千名员工，年生产能力达五百万（件）套，出口额一直领先日照市服装行业。主要产品有精品时装、休闲装、制服工装、校服、医护服装等十几个系列。</w:t>
      </w:r>
    </w:p>
    <w:p>
      <w:pPr>
        <w:ind w:firstLine="560"/>
      </w:pPr>
      <w:r>
        <w:rPr>
          <w:rFonts w:hint="eastAsia"/>
        </w:rPr>
        <w:t>2014年12月，“文正股份”成功登陆“新三板”市场，成为莒县第一家、日照市第三家在“新三板”挂牌上市的企业。上市后，文正衣品迅速进入资本市场，拓宽了融资渠道，完善了公司资本构成，为实现公司更快更好的发展奠定了更坚实的基础。公司以此为契机，走上了机制创新、产品创新的快车道，力争在三年内放大产业格局，实现商业模式的再次升级与转变。</w:t>
      </w:r>
    </w:p>
    <w:p>
      <w:pPr>
        <w:spacing w:line="240" w:lineRule="auto"/>
        <w:ind w:firstLine="0" w:firstLineChars="0"/>
        <w:jc w:val="center"/>
        <w:rPr>
          <w:rFonts w:ascii="仿宋_GB2312" w:hAnsi="宋体"/>
          <w:szCs w:val="28"/>
        </w:rPr>
      </w:pPr>
      <w:r>
        <w:rPr>
          <w:rFonts w:hint="eastAsia" w:ascii="仿宋_GB2312" w:hAnsi="宋体"/>
          <w:szCs w:val="28"/>
        </w:rPr>
        <w:drawing>
          <wp:inline distT="0" distB="0" distL="0" distR="0">
            <wp:extent cx="4728845" cy="3152775"/>
            <wp:effectExtent l="0" t="0" r="0" b="0"/>
            <wp:docPr id="18" name="图片 18" descr="10650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0650Ez"/>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736747" cy="3157831"/>
                    </a:xfrm>
                    <a:prstGeom prst="rect">
                      <a:avLst/>
                    </a:prstGeom>
                  </pic:spPr>
                </pic:pic>
              </a:graphicData>
            </a:graphic>
          </wp:inline>
        </w:drawing>
      </w:r>
    </w:p>
    <w:p>
      <w:pPr>
        <w:spacing w:line="240" w:lineRule="auto"/>
        <w:ind w:firstLine="0" w:firstLineChars="0"/>
        <w:jc w:val="center"/>
        <w:rPr>
          <w:rFonts w:ascii="仿宋_GB2312" w:hAnsi="宋体"/>
          <w:szCs w:val="28"/>
        </w:rPr>
      </w:pPr>
      <w:r>
        <w:rPr>
          <w:rFonts w:hint="eastAsia" w:ascii="仿宋_GB2312" w:hAnsi="宋体"/>
          <w:szCs w:val="28"/>
        </w:rPr>
        <w:drawing>
          <wp:inline distT="0" distB="0" distL="0" distR="0">
            <wp:extent cx="1598295" cy="2190750"/>
            <wp:effectExtent l="0" t="0" r="1905" b="0"/>
            <wp:docPr id="4" name="图片 4" descr="文正衣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正衣服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616614" cy="2215467"/>
                    </a:xfrm>
                    <a:prstGeom prst="rect">
                      <a:avLst/>
                    </a:prstGeom>
                  </pic:spPr>
                </pic:pic>
              </a:graphicData>
            </a:graphic>
          </wp:inline>
        </w:drawing>
      </w:r>
      <w:r>
        <w:rPr>
          <w:rFonts w:hint="eastAsia" w:ascii="仿宋_GB2312" w:hAnsi="宋体"/>
          <w:szCs w:val="28"/>
        </w:rPr>
        <w:drawing>
          <wp:inline distT="0" distB="0" distL="0" distR="0">
            <wp:extent cx="1690370" cy="2190115"/>
            <wp:effectExtent l="0" t="0" r="5080" b="635"/>
            <wp:docPr id="6" name="图片 6" descr="144155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44155UP"/>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14906" cy="2221649"/>
                    </a:xfrm>
                    <a:prstGeom prst="rect">
                      <a:avLst/>
                    </a:prstGeom>
                  </pic:spPr>
                </pic:pic>
              </a:graphicData>
            </a:graphic>
          </wp:inline>
        </w:drawing>
      </w:r>
      <w:r>
        <w:rPr>
          <w:rFonts w:hint="eastAsia" w:ascii="仿宋_GB2312" w:hAnsi="宋体"/>
          <w:szCs w:val="28"/>
        </w:rPr>
        <w:drawing>
          <wp:inline distT="0" distB="0" distL="0" distR="0">
            <wp:extent cx="1314450" cy="2195195"/>
            <wp:effectExtent l="0" t="0" r="0" b="0"/>
            <wp:docPr id="10" name="图片 10" descr="1432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4323583"/>
                    <pic:cNvPicPr>
                      <a:picLocks noChangeAspect="1"/>
                    </pic:cNvPicPr>
                  </pic:nvPicPr>
                  <pic:blipFill>
                    <a:blip r:embed="rId12">
                      <a:extLst>
                        <a:ext uri="{28A0092B-C50C-407E-A947-70E740481C1C}">
                          <a14:useLocalDpi xmlns:a14="http://schemas.microsoft.com/office/drawing/2010/main" val="0"/>
                        </a:ext>
                      </a:extLst>
                    </a:blip>
                    <a:srcRect r="39144"/>
                    <a:stretch>
                      <a:fillRect/>
                    </a:stretch>
                  </pic:blipFill>
                  <pic:spPr>
                    <a:xfrm>
                      <a:off x="0" y="0"/>
                      <a:ext cx="1341670" cy="2240760"/>
                    </a:xfrm>
                    <a:prstGeom prst="rect">
                      <a:avLst/>
                    </a:prstGeom>
                    <a:ln>
                      <a:noFill/>
                    </a:ln>
                  </pic:spPr>
                </pic:pic>
              </a:graphicData>
            </a:graphic>
          </wp:inline>
        </w:drawing>
      </w:r>
    </w:p>
    <w:p>
      <w:pPr>
        <w:spacing w:line="240" w:lineRule="auto"/>
        <w:ind w:firstLine="0" w:firstLineChars="0"/>
        <w:jc w:val="center"/>
        <w:rPr>
          <w:rFonts w:ascii="仿宋_GB2312" w:hAnsi="宋体"/>
          <w:szCs w:val="28"/>
        </w:rPr>
      </w:pPr>
      <w:r>
        <w:drawing>
          <wp:inline distT="0" distB="0" distL="0" distR="0">
            <wp:extent cx="4667250" cy="26289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3"/>
                    <a:stretch>
                      <a:fillRect/>
                    </a:stretch>
                  </pic:blipFill>
                  <pic:spPr>
                    <a:xfrm>
                      <a:off x="0" y="0"/>
                      <a:ext cx="4667250" cy="2628900"/>
                    </a:xfrm>
                    <a:prstGeom prst="rect">
                      <a:avLst/>
                    </a:prstGeom>
                  </pic:spPr>
                </pic:pic>
              </a:graphicData>
            </a:graphic>
          </wp:inline>
        </w:drawing>
      </w:r>
    </w:p>
    <w:p>
      <w:pPr>
        <w:ind w:firstLine="560"/>
      </w:pPr>
      <w:r>
        <w:rPr>
          <w:rFonts w:hint="eastAsia"/>
        </w:rPr>
        <w:t>2．请以提升文正品牌知名度为目的，为其制定符合企业特点的全渠道（线上+线下）推广活动策划方案并部分实施（至少选择一项线上推广活动完成实施）。</w:t>
      </w:r>
    </w:p>
    <w:p>
      <w:pPr>
        <w:ind w:firstLine="560"/>
      </w:pPr>
      <w:r>
        <w:rPr>
          <w:rFonts w:hint="eastAsia"/>
        </w:rPr>
        <w:t>3．请在竞赛当日1小时内，借助Word完成全渠道推广策划方案撰写，借助PowerPoint完成推广活动实施汇报PPT。</w:t>
      </w:r>
    </w:p>
    <w:p>
      <w:pPr>
        <w:ind w:firstLine="560"/>
      </w:pPr>
      <w:r>
        <w:rPr>
          <w:rFonts w:hint="eastAsia"/>
        </w:rPr>
        <w:t>要求：</w:t>
      </w:r>
    </w:p>
    <w:p>
      <w:pPr>
        <w:ind w:firstLine="560"/>
      </w:pPr>
      <w:r>
        <w:rPr>
          <w:rFonts w:hint="eastAsia"/>
        </w:rPr>
        <w:t>（1）word文案</w:t>
      </w:r>
    </w:p>
    <w:p>
      <w:pPr>
        <w:ind w:firstLine="560"/>
      </w:pPr>
      <w:r>
        <w:rPr>
          <w:rFonts w:hint="eastAsia"/>
        </w:rPr>
        <w:t>主要针对全渠道推广策划方案进行撰写，包含但不限于以下几个方面：主题、时间、目标、推广策略、预算、效果预测等。</w:t>
      </w:r>
    </w:p>
    <w:p>
      <w:pPr>
        <w:ind w:firstLine="560"/>
      </w:pPr>
      <w:r>
        <w:rPr>
          <w:rFonts w:hint="eastAsia"/>
        </w:rPr>
        <w:t>（2）PPT文案</w:t>
      </w:r>
    </w:p>
    <w:p>
      <w:pPr>
        <w:ind w:firstLine="560"/>
      </w:pPr>
      <w:r>
        <w:rPr>
          <w:rFonts w:hint="eastAsia"/>
        </w:rPr>
        <w:t>主要针对实施过程进行汇报，包含但不限于以下几个方面：推广方案简介、分工协调、实施过程控制、总结分析（包括推广效果和活动总结）等。</w:t>
      </w:r>
    </w:p>
    <w:p>
      <w:pPr>
        <w:ind w:firstLine="560"/>
      </w:pPr>
      <w:r>
        <w:rPr>
          <w:rFonts w:hint="eastAsia"/>
        </w:rPr>
        <w:t>4．按抽签顺序依次进入汇报场地进行展示汇报（不超过5分钟）。</w:t>
      </w:r>
    </w:p>
    <w:p>
      <w:pPr>
        <w:ind w:firstLine="560"/>
      </w:pPr>
      <w:r>
        <w:rPr>
          <w:rFonts w:hint="eastAsia"/>
        </w:rPr>
        <w:t>要求：</w:t>
      </w:r>
    </w:p>
    <w:p>
      <w:pPr>
        <w:ind w:firstLine="560"/>
      </w:pPr>
      <w:r>
        <w:rPr>
          <w:rFonts w:hint="eastAsia"/>
        </w:rPr>
        <w:t>（1）普通话标准，口齿清晰，表达流利，声音洪亮，节奏适中；无明显的停顿、磕巴；在规定时间内团队2人以上共同完成展示陈述任务。</w:t>
      </w:r>
    </w:p>
    <w:p>
      <w:pPr>
        <w:ind w:firstLine="560"/>
      </w:pPr>
      <w:r>
        <w:rPr>
          <w:rFonts w:hint="eastAsia"/>
        </w:rPr>
        <w:t>（2）团队衣着整洁，在汇报过程中表情自然大方，注意基本的礼仪，能够尊重评委，文明用语。</w:t>
      </w:r>
    </w:p>
    <w:p>
      <w:pPr>
        <w:ind w:firstLine="560"/>
      </w:pPr>
      <w:r>
        <w:rPr>
          <w:rFonts w:hint="eastAsia"/>
        </w:rPr>
        <w:t>（3）在文案作品及学生汇报过程中不得出现任何学校名称、选手姓名等可暴露参赛选手身份的相关信息。</w:t>
      </w:r>
    </w:p>
    <w:p>
      <w:pPr>
        <w:pStyle w:val="4"/>
        <w:ind w:firstLine="562"/>
      </w:pPr>
      <w:r>
        <w:rPr>
          <w:rFonts w:hint="eastAsia"/>
        </w:rPr>
        <w:t>（三）情境营销（70分）</w:t>
      </w:r>
    </w:p>
    <w:p>
      <w:pPr>
        <w:ind w:firstLine="560"/>
      </w:pPr>
      <w:r>
        <w:rPr>
          <w:rFonts w:hint="eastAsia"/>
        </w:rPr>
        <w:t>本模块为公开赛卷，使用博弈对抗类平台。平台提供了P1、P2、P3、P4四类产品在五个市场未来三年的销售价格、销售数量的预测资料。参赛团队组成企业营销的核心团队，负责一个生产制造型企业的产品销售。企业拥有1911万资产，以销售P1产品为主营业务，资金充裕，银行信用良好，但是产品单一，只在本地市场销售，竞争越来越激烈，预计未来几年销售收入将继续下降。参赛团队通过目标市场分析与选择、营销策略组合和财务报表分析，使企业的效益最大化。背景资料及规则如下：</w:t>
      </w:r>
    </w:p>
    <w:p>
      <w:pPr>
        <w:ind w:firstLine="560"/>
      </w:pPr>
      <w:r>
        <w:rPr>
          <w:rFonts w:hint="eastAsia"/>
        </w:rPr>
        <w:t>1．根据软件提供P1、P2、P3、P4四类产品在五个市场未来三年的需求预测图（图1、图2），获取详细的需求信息。选手通过市场预测图进行市场分析，决定是否购买调研报告，通过购买市场调研报告，了解直销客户、批发商、零售商（六类消费人群）的需求信息（图3），确定目标市场，制定营销计划。</w:t>
      </w:r>
    </w:p>
    <w:p>
      <w:pPr>
        <w:spacing w:line="240" w:lineRule="auto"/>
        <w:ind w:firstLine="0" w:firstLineChars="0"/>
        <w:rPr>
          <w:rFonts w:cs="Times New Roman"/>
          <w:szCs w:val="28"/>
        </w:rPr>
      </w:pPr>
      <w:r>
        <w:rPr>
          <w:rFonts w:eastAsia="宋体" w:cs="Times New Roman"/>
          <w:sz w:val="21"/>
        </w:rPr>
        <w:drawing>
          <wp:inline distT="0" distB="0" distL="0" distR="0">
            <wp:extent cx="5274310" cy="1557020"/>
            <wp:effectExtent l="0" t="0" r="254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1557020"/>
                    </a:xfrm>
                    <a:prstGeom prst="rect">
                      <a:avLst/>
                    </a:prstGeom>
                  </pic:spPr>
                </pic:pic>
              </a:graphicData>
            </a:graphic>
          </wp:inline>
        </w:drawing>
      </w:r>
    </w:p>
    <w:p>
      <w:pPr>
        <w:spacing w:after="190" w:afterLines="50" w:line="240" w:lineRule="auto"/>
        <w:ind w:firstLine="0" w:firstLineChars="0"/>
        <w:jc w:val="center"/>
        <w:rPr>
          <w:rFonts w:cs="Times New Roman"/>
          <w:sz w:val="24"/>
          <w:szCs w:val="24"/>
        </w:rPr>
      </w:pPr>
      <w:r>
        <w:rPr>
          <w:rFonts w:cs="Times New Roman"/>
          <w:sz w:val="24"/>
          <w:szCs w:val="24"/>
        </w:rPr>
        <w:t>图1需求预测图</w:t>
      </w:r>
    </w:p>
    <w:p>
      <w:pPr>
        <w:spacing w:line="240" w:lineRule="auto"/>
        <w:ind w:firstLine="0" w:firstLineChars="0"/>
        <w:rPr>
          <w:rFonts w:cs="Times New Roman"/>
          <w:szCs w:val="28"/>
        </w:rPr>
      </w:pPr>
      <w:r>
        <w:rPr>
          <w:rFonts w:cs="Times New Roman"/>
          <w:szCs w:val="28"/>
        </w:rPr>
        <w:drawing>
          <wp:inline distT="0" distB="0" distL="0" distR="0">
            <wp:extent cx="5286375" cy="2019300"/>
            <wp:effectExtent l="0" t="0" r="952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6">
                      <a:extLst>
                        <a:ext uri="{28A0092B-C50C-407E-A947-70E740481C1C}">
                          <a14:useLocalDpi xmlns:a14="http://schemas.microsoft.com/office/drawing/2010/main" val="0"/>
                        </a:ext>
                      </a:extLst>
                    </a:blip>
                    <a:srcRect r="1033"/>
                    <a:stretch>
                      <a:fillRect/>
                    </a:stretch>
                  </pic:blipFill>
                  <pic:spPr>
                    <a:xfrm>
                      <a:off x="0" y="0"/>
                      <a:ext cx="5286375" cy="2019300"/>
                    </a:xfrm>
                    <a:prstGeom prst="rect">
                      <a:avLst/>
                    </a:prstGeom>
                    <a:noFill/>
                    <a:ln>
                      <a:noFill/>
                    </a:ln>
                  </pic:spPr>
                </pic:pic>
              </a:graphicData>
            </a:graphic>
          </wp:inline>
        </w:drawing>
      </w:r>
    </w:p>
    <w:p>
      <w:pPr>
        <w:spacing w:after="190" w:afterLines="50" w:line="240" w:lineRule="auto"/>
        <w:ind w:firstLine="0" w:firstLineChars="0"/>
        <w:jc w:val="center"/>
        <w:rPr>
          <w:rFonts w:cs="Times New Roman"/>
          <w:sz w:val="24"/>
          <w:szCs w:val="24"/>
        </w:rPr>
      </w:pPr>
      <w:r>
        <w:rPr>
          <w:rFonts w:cs="Times New Roman"/>
          <w:sz w:val="24"/>
          <w:szCs w:val="24"/>
        </w:rPr>
        <w:t>图2 价格预测图</w:t>
      </w:r>
    </w:p>
    <w:p>
      <w:pPr>
        <w:spacing w:line="240" w:lineRule="auto"/>
        <w:ind w:firstLine="0" w:firstLineChars="0"/>
        <w:jc w:val="center"/>
        <w:rPr>
          <w:rFonts w:cs="Times New Roman"/>
          <w:szCs w:val="28"/>
        </w:rPr>
      </w:pPr>
      <w:r>
        <w:rPr>
          <w:rFonts w:cs="Times New Roman"/>
          <w:szCs w:val="28"/>
        </w:rPr>
        <w:drawing>
          <wp:inline distT="0" distB="0" distL="0" distR="0">
            <wp:extent cx="5143500" cy="16002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143500" cy="1600200"/>
                    </a:xfrm>
                    <a:prstGeom prst="rect">
                      <a:avLst/>
                    </a:prstGeom>
                    <a:noFill/>
                    <a:ln>
                      <a:noFill/>
                    </a:ln>
                  </pic:spPr>
                </pic:pic>
              </a:graphicData>
            </a:graphic>
          </wp:inline>
        </w:drawing>
      </w:r>
    </w:p>
    <w:p>
      <w:pPr>
        <w:spacing w:after="190" w:afterLines="50" w:line="240" w:lineRule="auto"/>
        <w:ind w:firstLine="0" w:firstLineChars="0"/>
        <w:jc w:val="center"/>
        <w:rPr>
          <w:rFonts w:cs="Times New Roman"/>
          <w:sz w:val="24"/>
          <w:szCs w:val="24"/>
        </w:rPr>
      </w:pPr>
      <w:r>
        <w:rPr>
          <w:rFonts w:cs="Times New Roman"/>
          <w:sz w:val="24"/>
          <w:szCs w:val="24"/>
        </w:rPr>
        <w:t>图3 市场需求图</w:t>
      </w:r>
    </w:p>
    <w:p>
      <w:pPr>
        <w:ind w:firstLine="560"/>
      </w:pPr>
      <w:r>
        <w:rPr>
          <w:rFonts w:hint="eastAsia"/>
        </w:rPr>
        <w:t>2．根据定价目标，确定需求、估算成本、选择定价方法，制定最终价格。比如：企业P1库存较大，直接成本是2，零售市场平均期望价是8，参赛选手制定合适价格。</w:t>
      </w:r>
    </w:p>
    <w:p>
      <w:pPr>
        <w:ind w:firstLine="560"/>
      </w:pPr>
      <w:r>
        <w:rPr>
          <w:rFonts w:hint="eastAsia"/>
        </w:rPr>
        <w:t>检验参赛选手对价格构成要素及其影响的分析，定价因素的理解和掌握情况；检验参赛选手对定价目标和原则的熟悉和掌握情况；检验参赛选手对定价程序和方法的掌握和运用情况；检验参赛选手对定价策略的掌握和运用情况。熟悉价格制定的原理和方法，灵活运用价格策略，实现成功营销。</w:t>
      </w:r>
    </w:p>
    <w:p>
      <w:pPr>
        <w:ind w:firstLine="560"/>
      </w:pPr>
      <w:r>
        <w:rPr>
          <w:rFonts w:hint="eastAsia"/>
        </w:rPr>
        <w:t>3．根据调研报告提供四种产品、三种营销渠道的市场预测价格和数量，结合企业自身和竞争对手状况，采用多渠道组合营销手段扩大销售。</w:t>
      </w:r>
    </w:p>
    <w:p>
      <w:pPr>
        <w:ind w:firstLine="560"/>
      </w:pPr>
      <w:r>
        <w:rPr>
          <w:rFonts w:hint="eastAsia"/>
        </w:rPr>
        <w:t>熟悉直销、批发、零售三种渠道的概念及特征，掌握影响渠道模式选择的因素：产品因素、市场因素、企业自身因素和竞争对手因素。</w:t>
      </w:r>
    </w:p>
    <w:p>
      <w:pPr>
        <w:ind w:firstLine="560"/>
      </w:pPr>
      <w:r>
        <w:rPr>
          <w:rFonts w:hint="eastAsia"/>
        </w:rPr>
        <w:t>（1）直销：选手只有在进行了直销客户的开发以后，才有机会参与直销客户的投标。投标流程为：投标报名、资格预审、购买标书、投标、中标公示。采用综合评分法确定中标小组，缴纳投标保证金。</w:t>
      </w:r>
    </w:p>
    <w:p>
      <w:pPr>
        <w:ind w:firstLine="560"/>
      </w:pPr>
      <w:r>
        <w:rPr>
          <w:rFonts w:hint="eastAsia"/>
        </w:rPr>
        <w:t>（2）批发：选手需根据自身的营销策略，在不同市场上制定不同产品的批发招商广告的投放策略，招商广告费用最低为1W，最高不限制，但必须是整数。选手在投放招商广告完成后，由系统判定选单顺序。</w:t>
      </w:r>
    </w:p>
    <w:p>
      <w:pPr>
        <w:ind w:firstLine="560"/>
      </w:pPr>
      <w:r>
        <w:rPr>
          <w:rFonts w:hint="eastAsia"/>
        </w:rPr>
        <w:t>（3）零售：为了扩大市场，提高销售额，选手需要选择更多合适的零售商进店销售。选手在选择合适的零售商签约以后，需要将自己的产品配送给各个零售商进行销售。</w:t>
      </w:r>
    </w:p>
    <w:p>
      <w:pPr>
        <w:ind w:firstLine="560"/>
      </w:pPr>
      <w:r>
        <w:rPr>
          <w:rFonts w:hint="eastAsia"/>
        </w:rPr>
        <w:t>4．促销方法选择</w:t>
      </w:r>
    </w:p>
    <w:p>
      <w:pPr>
        <w:ind w:firstLine="560"/>
      </w:pPr>
      <w:r>
        <w:rPr>
          <w:rFonts w:hint="eastAsia"/>
        </w:rPr>
        <w:t>（1）销售促销：选手采用满就送、多买折扣、买第几件折扣等促销活动，吸引不定型消费人群，增大销售额。熟悉销售促销的概念，掌握销售促销的活动方式。</w:t>
      </w:r>
    </w:p>
    <w:p>
      <w:pPr>
        <w:spacing w:line="240" w:lineRule="auto"/>
        <w:ind w:firstLine="0" w:firstLineChars="0"/>
        <w:jc w:val="center"/>
        <w:rPr>
          <w:rFonts w:cs="Times New Roman"/>
          <w:szCs w:val="28"/>
        </w:rPr>
      </w:pPr>
      <w:r>
        <w:rPr>
          <w:rFonts w:cs="Times New Roman"/>
          <w:szCs w:val="28"/>
        </w:rPr>
        <w:drawing>
          <wp:inline distT="0" distB="0" distL="0" distR="0">
            <wp:extent cx="5219700" cy="1704975"/>
            <wp:effectExtent l="0" t="0" r="0" b="952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19700" cy="1704975"/>
                    </a:xfrm>
                    <a:prstGeom prst="rect">
                      <a:avLst/>
                    </a:prstGeom>
                    <a:noFill/>
                    <a:ln>
                      <a:noFill/>
                    </a:ln>
                  </pic:spPr>
                </pic:pic>
              </a:graphicData>
            </a:graphic>
          </wp:inline>
        </w:drawing>
      </w:r>
    </w:p>
    <w:p>
      <w:pPr>
        <w:spacing w:after="190" w:afterLines="50" w:line="240" w:lineRule="auto"/>
        <w:ind w:firstLine="0" w:firstLineChars="0"/>
        <w:jc w:val="center"/>
        <w:rPr>
          <w:rFonts w:cs="Times New Roman"/>
          <w:sz w:val="24"/>
          <w:szCs w:val="24"/>
        </w:rPr>
      </w:pPr>
      <w:r>
        <w:rPr>
          <w:rFonts w:cs="Times New Roman"/>
          <w:sz w:val="24"/>
          <w:szCs w:val="24"/>
        </w:rPr>
        <w:t>图4 满就送促销</w:t>
      </w:r>
    </w:p>
    <w:p>
      <w:pPr>
        <w:ind w:firstLine="560"/>
      </w:pPr>
      <w:r>
        <w:t>（2）广告策略：选手选择百度竞价排名和央视的多个时段投放广告，吸引习惯型消费人群，增大销售额。熟悉广告的概念、分类；掌握广告的基本原则；掌握广告媒体选择应考虑的因素。</w:t>
      </w:r>
    </w:p>
    <w:p>
      <w:pPr>
        <w:spacing w:line="240" w:lineRule="auto"/>
        <w:ind w:firstLine="0" w:firstLineChars="0"/>
        <w:jc w:val="center"/>
        <w:rPr>
          <w:rFonts w:cs="Times New Roman"/>
          <w:szCs w:val="28"/>
        </w:rPr>
      </w:pPr>
      <w:r>
        <w:rPr>
          <w:rFonts w:cs="Times New Roman"/>
          <w:szCs w:val="28"/>
        </w:rPr>
        <w:drawing>
          <wp:inline distT="0" distB="0" distL="0" distR="0">
            <wp:extent cx="5274310" cy="2680335"/>
            <wp:effectExtent l="0" t="0" r="0" b="0"/>
            <wp:docPr id="14" name="图片 14" descr="C:\Users\lenovo\Documents\Tencent Files\717851679\Image\C2C\D}G@3~8KY`8374KGUB{4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lenovo\Documents\Tencent Files\717851679\Image\C2C\D}G@3~8KY`8374KGUB{4P~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74310" cy="2680335"/>
                    </a:xfrm>
                    <a:prstGeom prst="rect">
                      <a:avLst/>
                    </a:prstGeom>
                    <a:noFill/>
                    <a:ln>
                      <a:noFill/>
                    </a:ln>
                  </pic:spPr>
                </pic:pic>
              </a:graphicData>
            </a:graphic>
          </wp:inline>
        </w:drawing>
      </w:r>
    </w:p>
    <w:p>
      <w:pPr>
        <w:spacing w:after="190" w:afterLines="50" w:line="240" w:lineRule="auto"/>
        <w:ind w:firstLine="0" w:firstLineChars="0"/>
        <w:jc w:val="center"/>
        <w:rPr>
          <w:rFonts w:cs="Times New Roman"/>
          <w:sz w:val="24"/>
          <w:szCs w:val="24"/>
        </w:rPr>
      </w:pPr>
      <w:r>
        <w:rPr>
          <w:rFonts w:cs="Times New Roman"/>
          <w:sz w:val="24"/>
          <w:szCs w:val="24"/>
        </w:rPr>
        <w:t>图5 媒体位置或时段价格表</w:t>
      </w:r>
    </w:p>
    <w:p>
      <w:pPr>
        <w:ind w:firstLine="560"/>
      </w:pPr>
      <w:r>
        <w:rPr>
          <w:rFonts w:hint="eastAsia"/>
        </w:rPr>
        <w:t>5</w:t>
      </w:r>
      <w:r>
        <w:t>．根据目标市场选择，制定产品研发计划和产品生产计划。目前只有P1产品，P2、P3、P4需要三个季度研发，研发费用每季度10W、20W、30W。只有产品研发完成后，才能进行该产品的生产。</w:t>
      </w:r>
    </w:p>
    <w:p>
      <w:pPr>
        <w:ind w:firstLine="560"/>
      </w:pPr>
      <w:r>
        <w:rPr>
          <w:rFonts w:hint="eastAsia"/>
        </w:rPr>
        <w:t>6</w:t>
      </w:r>
      <w:r>
        <w:t>．财务</w:t>
      </w:r>
      <w:r>
        <w:rPr>
          <w:rFonts w:hint="eastAsia"/>
        </w:rPr>
        <w:t>运行规则</w:t>
      </w:r>
    </w:p>
    <w:p>
      <w:pPr>
        <w:ind w:firstLine="560"/>
      </w:pPr>
      <w:r>
        <w:t>（1）应收应付：及时进行应收账款和应付账款的结算。</w:t>
      </w:r>
    </w:p>
    <w:p>
      <w:pPr>
        <w:ind w:firstLine="560"/>
      </w:pPr>
      <w:r>
        <w:t>（2）融资：系统中向企业运营提供了三种融资方式：短期贷款、民间融资和长期贷款。选手可根据企业经营状态进行融资。</w:t>
      </w:r>
    </w:p>
    <w:p>
      <w:pPr>
        <w:ind w:firstLine="560"/>
      </w:pPr>
      <w:r>
        <w:t>（3）支付费用：零售商管理费、租赁费/维修费、库存管理费。</w:t>
      </w:r>
    </w:p>
    <w:p>
      <w:pPr>
        <w:ind w:firstLine="560"/>
      </w:pPr>
      <w:r>
        <w:t>（4）缴税：每年第一季度缴纳上年度企业所得税。</w:t>
      </w:r>
    </w:p>
    <w:p>
      <w:pPr>
        <w:ind w:firstLine="560"/>
      </w:pPr>
      <w:r>
        <w:t>（5）根据系统自动生成的财务报表进行盈亏分析，制定下一步营销策略。</w:t>
      </w:r>
    </w:p>
    <w:p>
      <w:pPr>
        <w:ind w:firstLine="560"/>
      </w:pPr>
      <w:r>
        <w:t>（6）读懂财务报表，管理应收账款，维持良好的资金流，估算成本和毛利率，进行盈亏分析。</w:t>
      </w:r>
    </w:p>
    <w:p>
      <w:pPr>
        <w:pStyle w:val="3"/>
        <w:ind w:firstLine="562"/>
      </w:pPr>
      <w:r>
        <w:rPr>
          <w:rFonts w:hint="eastAsia"/>
        </w:rPr>
        <w:t>七、竞赛规则</w:t>
      </w:r>
    </w:p>
    <w:p>
      <w:pPr>
        <w:pStyle w:val="4"/>
        <w:ind w:firstLine="562"/>
      </w:pPr>
      <w:r>
        <w:rPr>
          <w:rFonts w:hint="eastAsia"/>
        </w:rPr>
        <w:t>（一）报名资格</w:t>
      </w:r>
    </w:p>
    <w:p>
      <w:pPr>
        <w:ind w:firstLine="560"/>
      </w:pPr>
      <w:r>
        <w:rPr>
          <w:rFonts w:hint="eastAsia"/>
        </w:rPr>
        <w:t>参赛选手须为普通高等学校全日制在籍的专科学生，或本科院校中高职类全日制在籍学生，或五年制高职四、五年级学生。参赛选手年龄一般不超过25周岁，年龄计算的截止时间为2019年5月1日。凡在往届全国职业院校技能大赛市场营销技能赛项高职组中获一等奖的选手，不能再参加本项比赛。不符合参赛资格的学生不得参赛，一经发现即取消参赛资格，退回已经获得的有关荣誉和奖品，并予以通报。</w:t>
      </w:r>
    </w:p>
    <w:p>
      <w:pPr>
        <w:pStyle w:val="4"/>
        <w:ind w:firstLine="562"/>
      </w:pPr>
      <w:r>
        <w:rPr>
          <w:rFonts w:hint="eastAsia"/>
        </w:rPr>
        <w:t>（二）报名要求</w:t>
      </w:r>
    </w:p>
    <w:p>
      <w:pPr>
        <w:ind w:firstLine="560"/>
      </w:pPr>
      <w:r>
        <w:rPr>
          <w:rFonts w:hint="eastAsia"/>
        </w:rPr>
        <w:t>报名由省教育行政部门在大赛执行委员会确定的报名时间内，组织完成参赛报名工作。参赛选手和指导教师报名获得确认后不得随意更换。如比赛前参赛选手和指导教师因故无法参赛，须由省级教育行政部门于相应赛项开赛10个工作日之前出具书面说明，经大赛执委会核实后予以更换；竞赛开始后，参赛队不得更换参赛队员，允许队员缺席比赛。</w:t>
      </w:r>
    </w:p>
    <w:p>
      <w:pPr>
        <w:pStyle w:val="4"/>
        <w:ind w:firstLine="562"/>
      </w:pPr>
      <w:r>
        <w:rPr>
          <w:rFonts w:hint="eastAsia"/>
        </w:rPr>
        <w:t>（三）赛前准备</w:t>
      </w:r>
    </w:p>
    <w:p>
      <w:pPr>
        <w:ind w:firstLine="560"/>
      </w:pPr>
      <w:r>
        <w:rPr>
          <w:rFonts w:hint="eastAsia"/>
        </w:rPr>
        <w:t>1．领队会议：比赛日前一天下午召开领队会议，由各参赛队伍的领队和指导教师参加，会议讲解竞赛注意事项并进行赛前答疑。</w:t>
      </w:r>
    </w:p>
    <w:p>
      <w:pPr>
        <w:ind w:firstLine="560"/>
      </w:pPr>
      <w:r>
        <w:rPr>
          <w:rFonts w:hint="eastAsia"/>
        </w:rPr>
        <w:t>2．熟悉场地：比赛日前一天下午开放赛场，熟悉场地。</w:t>
      </w:r>
    </w:p>
    <w:p>
      <w:pPr>
        <w:ind w:firstLine="560"/>
      </w:pPr>
      <w:r>
        <w:rPr>
          <w:rFonts w:hint="eastAsia"/>
        </w:rPr>
        <w:t>3．抽签仪式：比赛前一小时内举行抽签仪式，通过抽签确定各参赛队伍的赛场座次。</w:t>
      </w:r>
    </w:p>
    <w:p>
      <w:pPr>
        <w:ind w:firstLine="560"/>
      </w:pPr>
      <w:r>
        <w:rPr>
          <w:rFonts w:hint="eastAsia"/>
        </w:rPr>
        <w:t>4．参赛队员入场：参赛选手应提前15分钟到达赛场，凭参赛证、学生证、身份证检录，按要求入场，不得迟到早退。并根据抽签结果在对应的座位入座，裁判负责核对参赛队员信息；严禁参赛选手携带与竞赛无关的电子设备、通讯设备及其他相关资料与用品入场。</w:t>
      </w:r>
    </w:p>
    <w:p>
      <w:pPr>
        <w:pStyle w:val="4"/>
        <w:ind w:firstLine="562"/>
      </w:pPr>
      <w:r>
        <w:rPr>
          <w:rFonts w:hint="eastAsia"/>
        </w:rPr>
        <w:t>（四）比赛期间</w:t>
      </w:r>
    </w:p>
    <w:p>
      <w:pPr>
        <w:ind w:firstLine="560"/>
      </w:pPr>
      <w:r>
        <w:rPr>
          <w:rFonts w:hint="eastAsia"/>
        </w:rPr>
        <w:t>1．各参赛队伍打开电脑，进入竞赛平台，并修改各自密码。由裁判长宣布比赛开始，各参赛队伍开始竞赛。</w:t>
      </w:r>
    </w:p>
    <w:p>
      <w:pPr>
        <w:ind w:firstLine="560"/>
      </w:pPr>
      <w:r>
        <w:rPr>
          <w:rFonts w:hint="eastAsia"/>
        </w:rPr>
        <w:t>2．竞赛过程中，如有疑问，参赛选手应举手示意，裁判长应按照有关要求及时予以答疑。如遇设备或软件等故障，参赛选手应举手示意。裁判长、技术人员等应及时予以解决。确因计算机软件或硬件故障，致使操作无法继续的，经裁判长确认，予以启用备用计算机。如遇身体不适，参赛选手应举手示意报告工作人员，现场医务人员按应急预案救治。</w:t>
      </w:r>
    </w:p>
    <w:p>
      <w:pPr>
        <w:ind w:firstLine="560"/>
      </w:pPr>
      <w:r>
        <w:rPr>
          <w:rFonts w:hint="eastAsia"/>
        </w:rPr>
        <w:t>3．情境营销模块比赛开始后，在运营过程中，赛场裁判负责控制招标过程，并宣布阶段性成绩。</w:t>
      </w:r>
    </w:p>
    <w:p>
      <w:pPr>
        <w:pStyle w:val="4"/>
        <w:ind w:firstLine="562"/>
      </w:pPr>
      <w:r>
        <w:rPr>
          <w:rFonts w:hint="eastAsia"/>
        </w:rPr>
        <w:t>（五）成绩公布</w:t>
      </w:r>
    </w:p>
    <w:p>
      <w:pPr>
        <w:ind w:firstLine="560"/>
      </w:pPr>
      <w:r>
        <w:t>1</w:t>
      </w:r>
      <w:r>
        <w:rPr>
          <w:rFonts w:hint="eastAsia"/>
        </w:rPr>
        <w:t>．商务数据分析模块在参赛选手提交答卷后，填空题部分系统自动评分，制图题部分由评分裁判进行评分。裁判将成绩登录在竞赛成绩单上。</w:t>
      </w:r>
    </w:p>
    <w:p>
      <w:pPr>
        <w:ind w:firstLine="560"/>
      </w:pPr>
      <w:r>
        <w:t>2</w:t>
      </w:r>
      <w:r>
        <w:rPr>
          <w:rFonts w:hint="eastAsia"/>
        </w:rPr>
        <w:t>．营销实战汇报模块，每个汇报赛场5名裁判根据评分标准现场评分，去掉一个最高分和一个最低分后，剩余三位裁判的打分取平均值作为最终汇报成绩。裁判将成绩登录在竞赛成绩单上。</w:t>
      </w:r>
    </w:p>
    <w:p>
      <w:pPr>
        <w:ind w:firstLine="560"/>
      </w:pPr>
      <w:r>
        <w:rPr>
          <w:rFonts w:hint="eastAsia"/>
        </w:rPr>
        <w:t>3．情境营销模块按照竞赛规程，在经营三个会计年度后，裁判公布竞赛结果，并将成绩登录在竞赛成绩单上。</w:t>
      </w:r>
    </w:p>
    <w:p>
      <w:pPr>
        <w:ind w:firstLine="560"/>
      </w:pPr>
      <w:r>
        <w:rPr>
          <w:rFonts w:hint="eastAsia"/>
        </w:rPr>
        <w:t>4．各参赛队伍派一名参赛代表在竞赛成绩单上签字，裁判监督所有参赛队伍签字后，裁判签字。赛场裁判将数据进行备份和保存。</w:t>
      </w:r>
    </w:p>
    <w:p>
      <w:pPr>
        <w:ind w:firstLine="560"/>
      </w:pPr>
      <w:r>
        <w:rPr>
          <w:rFonts w:hint="eastAsia"/>
        </w:rPr>
        <w:t>5．赛项执委会在三个模块全部竞赛完毕并经公示程序后，在闭幕式上宣布成绩。</w:t>
      </w:r>
    </w:p>
    <w:p>
      <w:pPr>
        <w:pStyle w:val="3"/>
        <w:ind w:firstLine="562"/>
      </w:pPr>
      <w:r>
        <w:rPr>
          <w:rFonts w:hint="eastAsia"/>
        </w:rPr>
        <w:t>八、竞赛环境</w:t>
      </w:r>
    </w:p>
    <w:p>
      <w:pPr>
        <w:pStyle w:val="4"/>
        <w:ind w:firstLine="562"/>
      </w:pPr>
      <w:r>
        <w:rPr>
          <w:rFonts w:hint="eastAsia"/>
        </w:rPr>
        <w:t>（一）竞赛场地</w:t>
      </w:r>
    </w:p>
    <w:p>
      <w:pPr>
        <w:ind w:firstLine="560"/>
      </w:pPr>
      <w:r>
        <w:rPr>
          <w:rFonts w:hint="eastAsia"/>
        </w:rPr>
        <w:t>1．竞赛场地设在体育馆内或电脑机房，场地内设置满足整个团队的竞赛环境，分成若干个赛区。</w:t>
      </w:r>
    </w:p>
    <w:p>
      <w:pPr>
        <w:ind w:firstLine="560"/>
      </w:pPr>
      <w:r>
        <w:rPr>
          <w:rFonts w:hint="eastAsia"/>
        </w:rPr>
        <w:t>2．一个参赛队一个赛位，每个赛位三台电脑，其中一台电脑备用，两张桌子，四把椅子；</w:t>
      </w:r>
      <w:r>
        <w:t xml:space="preserve"> </w:t>
      </w:r>
    </w:p>
    <w:p>
      <w:pPr>
        <w:ind w:firstLine="560"/>
      </w:pPr>
      <w:r>
        <w:rPr>
          <w:rFonts w:hint="eastAsia"/>
        </w:rPr>
        <w:t>3．竞赛场地内设置背景板、宣传横幅及壁挂图，营造竞赛氛围。</w:t>
      </w:r>
    </w:p>
    <w:p>
      <w:pPr>
        <w:ind w:firstLine="560"/>
      </w:pPr>
      <w:r>
        <w:t>4</w:t>
      </w:r>
      <w:r>
        <w:rPr>
          <w:rFonts w:hint="eastAsia"/>
        </w:rPr>
        <w:t>．局域网络。采用星形网络拓扑结构，安装千兆交换机。网线与电源线隐蔽铺设。采用独立网络环境，不连接INTERNET，禁止外部电脑接入。</w:t>
      </w:r>
    </w:p>
    <w:p>
      <w:pPr>
        <w:ind w:firstLine="560"/>
      </w:pPr>
      <w:r>
        <w:t>5</w:t>
      </w:r>
      <w:r>
        <w:rPr>
          <w:rFonts w:hint="eastAsia"/>
        </w:rPr>
        <w:t>．安全保障。采用统一的杀毒软件对服务器进行防毒保护。屏蔽竞赛现场使用的电脑USB接口。部署具有网络管理、账号管理和日志管理功能的综合监控系统。</w:t>
      </w:r>
    </w:p>
    <w:p>
      <w:pPr>
        <w:ind w:firstLine="560"/>
      </w:pPr>
      <w:r>
        <w:t>6</w:t>
      </w:r>
      <w:r>
        <w:rPr>
          <w:rFonts w:hint="eastAsia"/>
        </w:rPr>
        <w:t>．采用双路供电。利用UPS防止现场因突然断电导致的系统数据丢失，额定功率：3KVA，后备时间：2小时，电池类型：输出电压：230V±5%V。</w:t>
      </w:r>
    </w:p>
    <w:p>
      <w:pPr>
        <w:pStyle w:val="4"/>
        <w:ind w:firstLine="562"/>
      </w:pPr>
      <w:r>
        <w:rPr>
          <w:rFonts w:hint="eastAsia"/>
        </w:rPr>
        <w:t>（二）汇报场地</w:t>
      </w:r>
    </w:p>
    <w:p>
      <w:pPr>
        <w:ind w:firstLine="560"/>
      </w:pPr>
      <w:r>
        <w:rPr>
          <w:rFonts w:hint="eastAsia"/>
        </w:rPr>
        <w:t>汇报室配备多媒体设备及录音录像设备。</w:t>
      </w:r>
      <w:r>
        <w:t xml:space="preserve"> </w:t>
      </w:r>
    </w:p>
    <w:p>
      <w:pPr>
        <w:pStyle w:val="3"/>
        <w:ind w:firstLine="562"/>
      </w:pPr>
      <w:r>
        <w:rPr>
          <w:rFonts w:hint="eastAsia"/>
        </w:rPr>
        <w:t>九、技术规范</w:t>
      </w:r>
    </w:p>
    <w:p>
      <w:pPr>
        <w:ind w:firstLine="560"/>
      </w:pPr>
      <w:r>
        <w:rPr>
          <w:rFonts w:hint="eastAsia"/>
        </w:rPr>
        <w:t>高等职业学校市场营销专业教学标准（征求意见稿）</w:t>
      </w:r>
    </w:p>
    <w:p>
      <w:pPr>
        <w:pStyle w:val="3"/>
        <w:ind w:firstLine="562"/>
      </w:pPr>
      <w:r>
        <w:rPr>
          <w:rFonts w:hint="eastAsia"/>
        </w:rPr>
        <w:t>十、技术平台</w:t>
      </w:r>
    </w:p>
    <w:p>
      <w:pPr>
        <w:spacing w:line="240" w:lineRule="auto"/>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3 </w:t>
      </w:r>
      <w:r>
        <w:rPr>
          <w:rFonts w:hint="eastAsia" w:ascii="仿宋_GB2312" w:hAnsi="Calibri" w:cs="Times New Roman"/>
          <w:b/>
          <w:sz w:val="24"/>
          <w:szCs w:val="24"/>
        </w:rPr>
        <w:t>竞赛技术平台软硬件信息</w:t>
      </w:r>
    </w:p>
    <w:tbl>
      <w:tblPr>
        <w:tblStyle w:val="9"/>
        <w:tblW w:w="83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14"/>
        <w:gridCol w:w="63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shd w:val="clear" w:color="auto" w:fill="auto"/>
            <w:vAlign w:val="center"/>
          </w:tcPr>
          <w:p>
            <w:pPr>
              <w:snapToGrid w:val="0"/>
              <w:spacing w:line="240" w:lineRule="auto"/>
              <w:ind w:firstLine="0" w:firstLineChars="0"/>
              <w:jc w:val="center"/>
              <w:rPr>
                <w:rFonts w:ascii="仿宋_GB2312" w:cs="Times New Roman"/>
                <w:b/>
                <w:sz w:val="24"/>
                <w:szCs w:val="24"/>
              </w:rPr>
            </w:pPr>
            <w:r>
              <w:rPr>
                <w:rFonts w:hint="eastAsia" w:ascii="仿宋_GB2312" w:cs="Times New Roman"/>
                <w:b/>
                <w:sz w:val="24"/>
                <w:szCs w:val="24"/>
              </w:rPr>
              <w:t>品名</w:t>
            </w:r>
          </w:p>
        </w:tc>
        <w:tc>
          <w:tcPr>
            <w:tcW w:w="6350" w:type="dxa"/>
            <w:shd w:val="clear" w:color="auto" w:fill="auto"/>
            <w:vAlign w:val="center"/>
          </w:tcPr>
          <w:p>
            <w:pPr>
              <w:snapToGrid w:val="0"/>
              <w:spacing w:line="240" w:lineRule="auto"/>
              <w:ind w:firstLine="0" w:firstLineChars="0"/>
              <w:jc w:val="center"/>
              <w:rPr>
                <w:rFonts w:ascii="仿宋_GB2312" w:cs="Times New Roman"/>
                <w:b/>
                <w:sz w:val="24"/>
                <w:szCs w:val="24"/>
              </w:rPr>
            </w:pPr>
            <w:r>
              <w:rPr>
                <w:rFonts w:hint="eastAsia" w:ascii="仿宋_GB2312" w:cs="Times New Roman"/>
                <w:b/>
                <w:sz w:val="24"/>
                <w:szCs w:val="24"/>
              </w:rPr>
              <w:t>规格要求说明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竞赛技术平台</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沿用2018年高职组市场营销技能赛项的技术平台：市场营销综合实训与竞赛系统V4.0版本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竞赛服务器</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CPU：2颗Quad Core(四核) 2.0G以上；内存：8GB以上；硬盘：500G以上；网卡：千兆网卡；操作系统：Windows Server2008 R2，安装IIS 7.0及以上版本；数据库：Microsoft SQL Server 2005企业版。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参赛选手计算机</w:t>
            </w:r>
          </w:p>
        </w:tc>
        <w:tc>
          <w:tcPr>
            <w:tcW w:w="6350" w:type="dxa"/>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CPU：酷睿I5 双核3.0以上；内存：4G以上；硬盘：500G以上；网卡：千兆网卡；操作系统：Microsoft Windows7及以上操作系统， Internet Explorer8.0、Firefox浏览器、谷歌浏览器，预装qq拼音、搜狗拼音、五笔、微软拼音等中文输入法和英文输入法。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14"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网络连接设备</w:t>
            </w:r>
          </w:p>
        </w:tc>
        <w:tc>
          <w:tcPr>
            <w:tcW w:w="6350" w:type="dxa"/>
            <w:vAlign w:val="center"/>
          </w:tcPr>
          <w:p>
            <w:pPr>
              <w:snapToGrid w:val="0"/>
              <w:spacing w:line="240" w:lineRule="auto"/>
              <w:ind w:firstLine="0" w:firstLineChars="0"/>
              <w:jc w:val="left"/>
              <w:rPr>
                <w:rFonts w:ascii="仿宋_GB2312" w:cs="Times New Roman"/>
                <w:sz w:val="24"/>
                <w:szCs w:val="24"/>
              </w:rPr>
            </w:pPr>
            <w:r>
              <w:rPr>
                <w:rFonts w:hint="eastAsia" w:ascii="仿宋_GB2312" w:cs="Times New Roman"/>
                <w:sz w:val="24"/>
                <w:szCs w:val="24"/>
              </w:rPr>
              <w:t>提供网络布线、交换机。</w:t>
            </w:r>
          </w:p>
        </w:tc>
      </w:tr>
    </w:tbl>
    <w:p>
      <w:pPr>
        <w:pStyle w:val="3"/>
        <w:ind w:firstLine="562"/>
      </w:pPr>
      <w:r>
        <w:rPr>
          <w:rFonts w:hint="eastAsia"/>
        </w:rPr>
        <w:t>十一、成绩评定</w:t>
      </w:r>
    </w:p>
    <w:p>
      <w:pPr>
        <w:pStyle w:val="4"/>
        <w:ind w:firstLine="562"/>
      </w:pPr>
      <w:r>
        <w:rPr>
          <w:rFonts w:hint="eastAsia"/>
        </w:rPr>
        <w:t>（一）评分标准</w:t>
      </w:r>
    </w:p>
    <w:p>
      <w:pPr>
        <w:ind w:firstLine="560"/>
      </w:pPr>
      <w:r>
        <w:rPr>
          <w:rFonts w:hint="eastAsia"/>
        </w:rPr>
        <w:t>1．商务数据分析（客观题，15分）</w:t>
      </w:r>
    </w:p>
    <w:p>
      <w:pPr>
        <w:spacing w:line="240" w:lineRule="auto"/>
        <w:ind w:firstLine="0" w:firstLineChars="0"/>
        <w:jc w:val="center"/>
        <w:rPr>
          <w:rFonts w:cs="Times New Roman"/>
          <w:b/>
          <w:sz w:val="24"/>
          <w:szCs w:val="24"/>
        </w:rPr>
      </w:pPr>
      <w:r>
        <w:rPr>
          <w:rFonts w:cs="Times New Roman"/>
          <w:b/>
          <w:sz w:val="24"/>
          <w:szCs w:val="24"/>
        </w:rPr>
        <w:t>表4 商务数据分析模块评分标准</w:t>
      </w:r>
    </w:p>
    <w:tbl>
      <w:tblPr>
        <w:tblStyle w:val="9"/>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584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668" w:type="dxa"/>
            <w:vAlign w:val="center"/>
          </w:tcPr>
          <w:p>
            <w:pPr>
              <w:spacing w:line="240" w:lineRule="auto"/>
              <w:ind w:firstLine="0" w:firstLineChars="0"/>
              <w:jc w:val="center"/>
              <w:rPr>
                <w:rFonts w:cs="Times New Roman"/>
                <w:b/>
                <w:sz w:val="24"/>
                <w:szCs w:val="24"/>
              </w:rPr>
            </w:pPr>
            <w:r>
              <w:rPr>
                <w:rFonts w:cs="Times New Roman"/>
                <w:b/>
                <w:sz w:val="24"/>
                <w:szCs w:val="24"/>
              </w:rPr>
              <w:t>竞赛内容</w:t>
            </w:r>
          </w:p>
        </w:tc>
        <w:tc>
          <w:tcPr>
            <w:tcW w:w="5840" w:type="dxa"/>
            <w:vAlign w:val="center"/>
          </w:tcPr>
          <w:p>
            <w:pPr>
              <w:spacing w:line="240" w:lineRule="auto"/>
              <w:ind w:firstLine="0" w:firstLineChars="0"/>
              <w:jc w:val="center"/>
              <w:rPr>
                <w:rFonts w:cs="Times New Roman"/>
                <w:b/>
                <w:sz w:val="24"/>
                <w:szCs w:val="24"/>
              </w:rPr>
            </w:pPr>
            <w:r>
              <w:rPr>
                <w:rFonts w:cs="Times New Roman"/>
                <w:b/>
                <w:sz w:val="24"/>
                <w:szCs w:val="24"/>
              </w:rPr>
              <w:t>评分标准</w:t>
            </w:r>
          </w:p>
        </w:tc>
        <w:tc>
          <w:tcPr>
            <w:tcW w:w="851" w:type="dxa"/>
            <w:vAlign w:val="center"/>
          </w:tcPr>
          <w:p>
            <w:pPr>
              <w:spacing w:line="240" w:lineRule="auto"/>
              <w:ind w:firstLine="0" w:firstLineChars="0"/>
              <w:jc w:val="center"/>
              <w:rPr>
                <w:rFonts w:cs="Times New Roman"/>
                <w:b/>
                <w:sz w:val="24"/>
                <w:szCs w:val="24"/>
              </w:rPr>
            </w:pPr>
            <w:r>
              <w:rPr>
                <w:rFonts w:hint="eastAsia" w:cs="Times New Roman"/>
                <w:b/>
                <w:sz w:val="24"/>
                <w:szCs w:val="24"/>
              </w:rPr>
              <w:t>总</w:t>
            </w:r>
            <w:r>
              <w:rPr>
                <w:rFonts w:cs="Times New Roman"/>
                <w:b/>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668" w:type="dxa"/>
            <w:vAlign w:val="center"/>
          </w:tcPr>
          <w:p>
            <w:pPr>
              <w:spacing w:line="240" w:lineRule="auto"/>
              <w:ind w:firstLine="0" w:firstLineChars="0"/>
              <w:jc w:val="center"/>
              <w:rPr>
                <w:rFonts w:cs="Times New Roman"/>
                <w:sz w:val="24"/>
                <w:szCs w:val="24"/>
              </w:rPr>
            </w:pPr>
            <w:r>
              <w:rPr>
                <w:rFonts w:cs="Times New Roman"/>
                <w:sz w:val="24"/>
                <w:szCs w:val="24"/>
              </w:rPr>
              <w:t>商务数据统计</w:t>
            </w:r>
          </w:p>
        </w:tc>
        <w:tc>
          <w:tcPr>
            <w:tcW w:w="5840" w:type="dxa"/>
            <w:vAlign w:val="center"/>
          </w:tcPr>
          <w:p>
            <w:pPr>
              <w:spacing w:line="240" w:lineRule="auto"/>
              <w:ind w:firstLine="0" w:firstLineChars="0"/>
              <w:jc w:val="center"/>
              <w:rPr>
                <w:rFonts w:cs="Times New Roman"/>
                <w:sz w:val="24"/>
                <w:szCs w:val="24"/>
              </w:rPr>
            </w:pPr>
            <w:r>
              <w:rPr>
                <w:rFonts w:cs="Times New Roman"/>
                <w:sz w:val="24"/>
                <w:szCs w:val="24"/>
              </w:rPr>
              <w:t>填空题，每题1分。</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1668" w:type="dxa"/>
            <w:vAlign w:val="center"/>
          </w:tcPr>
          <w:p>
            <w:pPr>
              <w:spacing w:line="240" w:lineRule="auto"/>
              <w:ind w:firstLine="0" w:firstLineChars="0"/>
              <w:jc w:val="center"/>
              <w:rPr>
                <w:rFonts w:cs="Times New Roman"/>
                <w:sz w:val="24"/>
                <w:szCs w:val="24"/>
              </w:rPr>
            </w:pPr>
            <w:r>
              <w:rPr>
                <w:rFonts w:cs="Times New Roman"/>
                <w:sz w:val="24"/>
                <w:szCs w:val="24"/>
              </w:rPr>
              <w:t>数据整理与制图</w:t>
            </w:r>
          </w:p>
        </w:tc>
        <w:tc>
          <w:tcPr>
            <w:tcW w:w="5840" w:type="dxa"/>
            <w:vAlign w:val="center"/>
          </w:tcPr>
          <w:p>
            <w:pPr>
              <w:spacing w:line="240" w:lineRule="auto"/>
              <w:ind w:firstLine="0" w:firstLineChars="0"/>
              <w:jc w:val="left"/>
              <w:rPr>
                <w:rFonts w:cs="Times New Roman"/>
                <w:sz w:val="24"/>
                <w:szCs w:val="24"/>
              </w:rPr>
            </w:pPr>
            <w:r>
              <w:rPr>
                <w:rFonts w:cs="Times New Roman"/>
                <w:sz w:val="24"/>
                <w:szCs w:val="24"/>
              </w:rPr>
              <w:t>客观题，评分点包括图表类型、标题内容的准确性、图例项位置及内容的准确性、数据标签位置及数值的准确性、横纵坐标位置及内容的准确性、横纵坐标轴的使用、分类标签的使用、刻度轴的使用。</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5分</w:t>
            </w:r>
          </w:p>
        </w:tc>
      </w:tr>
    </w:tbl>
    <w:p>
      <w:pPr>
        <w:ind w:firstLine="560"/>
      </w:pPr>
      <w:r>
        <w:rPr>
          <w:rFonts w:hint="eastAsia"/>
        </w:rPr>
        <w:t>2．营销实战展示（共计15分）</w:t>
      </w:r>
    </w:p>
    <w:p>
      <w:pPr>
        <w:ind w:firstLine="0" w:firstLineChars="0"/>
        <w:jc w:val="center"/>
        <w:rPr>
          <w:rFonts w:cs="Times New Roman"/>
          <w:b/>
          <w:sz w:val="24"/>
          <w:szCs w:val="24"/>
        </w:rPr>
      </w:pPr>
      <w:r>
        <w:rPr>
          <w:rFonts w:cs="Times New Roman"/>
          <w:b/>
          <w:sz w:val="24"/>
          <w:szCs w:val="24"/>
        </w:rPr>
        <w:t>表5 营销实战展示模块评分标准</w:t>
      </w:r>
    </w:p>
    <w:tbl>
      <w:tblPr>
        <w:tblStyle w:val="9"/>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838" w:type="dxa"/>
            <w:vAlign w:val="center"/>
          </w:tcPr>
          <w:p>
            <w:pPr>
              <w:widowControl/>
              <w:snapToGrid w:val="0"/>
              <w:spacing w:line="240" w:lineRule="auto"/>
              <w:ind w:firstLine="0" w:firstLineChars="0"/>
              <w:jc w:val="center"/>
              <w:rPr>
                <w:rFonts w:cs="Times New Roman"/>
                <w:b/>
                <w:sz w:val="24"/>
                <w:szCs w:val="24"/>
              </w:rPr>
            </w:pPr>
            <w:r>
              <w:rPr>
                <w:rFonts w:cs="Times New Roman"/>
                <w:b/>
                <w:sz w:val="24"/>
                <w:szCs w:val="24"/>
              </w:rPr>
              <w:t>评分标准一级指标</w:t>
            </w:r>
          </w:p>
        </w:tc>
        <w:tc>
          <w:tcPr>
            <w:tcW w:w="6521" w:type="dxa"/>
            <w:vAlign w:val="center"/>
          </w:tcPr>
          <w:p>
            <w:pPr>
              <w:widowControl/>
              <w:snapToGrid w:val="0"/>
              <w:spacing w:line="240" w:lineRule="auto"/>
              <w:ind w:firstLine="0" w:firstLineChars="0"/>
              <w:jc w:val="center"/>
              <w:rPr>
                <w:rFonts w:cs="Times New Roman"/>
                <w:b/>
                <w:sz w:val="24"/>
                <w:szCs w:val="24"/>
              </w:rPr>
            </w:pPr>
            <w:r>
              <w:rPr>
                <w:rFonts w:cs="Times New Roman"/>
                <w:b/>
                <w:sz w:val="24"/>
                <w:szCs w:val="24"/>
              </w:rPr>
              <w:t>评分标准二级指标及其分值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restart"/>
            <w:vAlign w:val="center"/>
          </w:tcPr>
          <w:p>
            <w:pPr>
              <w:widowControl/>
              <w:snapToGrid w:val="0"/>
              <w:spacing w:line="240" w:lineRule="auto"/>
              <w:ind w:firstLine="0" w:firstLineChars="0"/>
              <w:jc w:val="center"/>
              <w:rPr>
                <w:rFonts w:cs="Times New Roman"/>
                <w:b/>
                <w:kern w:val="0"/>
                <w:sz w:val="24"/>
                <w:szCs w:val="24"/>
              </w:rPr>
            </w:pPr>
            <w:r>
              <w:rPr>
                <w:rFonts w:cs="Times New Roman"/>
                <w:b/>
                <w:kern w:val="0"/>
                <w:sz w:val="24"/>
              </w:rPr>
              <w:t>一、方案设计word（8分）</w:t>
            </w: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1．活动策划的基本要素</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主要考察要素的全面性及逻辑性。</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好（2分）：包括基本要素，逻辑清晰；</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一般（1分）：包括基本要素，但逻辑有欠缺；</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差（0分）：包括基本要素，但存在明显逻辑错误。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2．各类典型职业活动的关键任务设计</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主要考察关键任务设计是否合理。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好（2分）：包括关键任务，逻辑清晰合理；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一般（1分）：包括关键任务，但逻辑有欠缺；</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差（0分）：关键任务不全，或者逻辑上有重大错误。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3．活动费用预算</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主要考察活动策划的成本意识。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好（2分）：有费用预算的详细阐述，有明确的资金来源计划；</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一般（1分）：未达到“好”的要求；</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差（0分）：没有此部分描述或者预算与目标、媒介明显不匹配。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4．方案创新性</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主要考察策划案是否有新意。</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好（2分）：有较大创新性；</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一般（1分）：比“好”的表现逊色；</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w:t>
            </w:r>
            <w:r>
              <w:rPr>
                <w:rFonts w:hint="eastAsia" w:ascii="Calibri" w:hAnsi="Calibri" w:cs="Times New Roman"/>
                <w:kern w:val="0"/>
                <w:sz w:val="24"/>
              </w:rPr>
              <w:t>无新意，或者方案强行创新但缺乏可行性、逻辑性、合理性，或者文案内容质量非常差</w:t>
            </w:r>
            <w:r>
              <w:rPr>
                <w:rFonts w:hint="eastAsia" w:cs="Times New Roman"/>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restart"/>
            <w:vAlign w:val="center"/>
          </w:tcPr>
          <w:p>
            <w:pPr>
              <w:widowControl/>
              <w:snapToGrid w:val="0"/>
              <w:spacing w:line="240" w:lineRule="auto"/>
              <w:ind w:firstLine="0" w:firstLineChars="0"/>
              <w:jc w:val="center"/>
              <w:rPr>
                <w:rFonts w:cs="Times New Roman"/>
                <w:b/>
                <w:kern w:val="0"/>
                <w:sz w:val="24"/>
                <w:szCs w:val="24"/>
              </w:rPr>
            </w:pPr>
            <w:r>
              <w:rPr>
                <w:rFonts w:cs="Times New Roman"/>
                <w:b/>
                <w:kern w:val="0"/>
                <w:sz w:val="24"/>
              </w:rPr>
              <w:t>二、实施技能ppt（3分）</w:t>
            </w: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5．分工协调</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主要考察组织分工的情况。</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好（1分）：分工合理、组织得当；</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一般（0.5分）：有组织分工，但分工不合理；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差（0分）：没有针对实施过程的分工。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6．实施过程控制</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主要考察对实施过程的管理。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赋分值：</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好（1分）：实施过程管理应详细、合理；</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一般（0.5分）：实施过程管理有缺项；</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差（0分）：无实施过程管理；或者有实施过程描述和实施过程管理，但存在明显不实迹象。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7．总结分析</w:t>
            </w:r>
          </w:p>
          <w:p>
            <w:pPr>
              <w:widowControl/>
              <w:snapToGrid w:val="0"/>
              <w:spacing w:line="240" w:lineRule="auto"/>
              <w:ind w:firstLine="0" w:firstLineChars="0"/>
              <w:rPr>
                <w:rFonts w:cs="Times New Roman"/>
                <w:b/>
                <w:kern w:val="0"/>
                <w:sz w:val="24"/>
                <w:szCs w:val="24"/>
              </w:rPr>
            </w:pPr>
            <w:r>
              <w:rPr>
                <w:rFonts w:hint="eastAsia" w:cs="Times New Roman"/>
                <w:b/>
                <w:kern w:val="0"/>
                <w:sz w:val="24"/>
                <w:szCs w:val="24"/>
              </w:rPr>
              <w:t>主要考察方案实施部分的总结分析。</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赋分值：</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好（1分）：有总结分析，并且包括推广效果总结和实施管理总结；</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一般（0.5分）：有总结分析，但比“好”的表现逊色；</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差（0分）：没有推广效果总结，或者有总结分析但存在明显不实迹象。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restart"/>
            <w:vAlign w:val="center"/>
          </w:tcPr>
          <w:p>
            <w:pPr>
              <w:widowControl/>
              <w:snapToGrid w:val="0"/>
              <w:spacing w:line="240" w:lineRule="auto"/>
              <w:ind w:firstLine="0" w:firstLineChars="0"/>
              <w:jc w:val="center"/>
              <w:rPr>
                <w:rFonts w:cs="Times New Roman"/>
                <w:b/>
                <w:kern w:val="0"/>
                <w:sz w:val="24"/>
                <w:szCs w:val="24"/>
              </w:rPr>
            </w:pPr>
            <w:r>
              <w:rPr>
                <w:rFonts w:cs="Times New Roman"/>
                <w:b/>
                <w:kern w:val="0"/>
                <w:sz w:val="24"/>
              </w:rPr>
              <w:t>三、文案制作水平（1分）</w:t>
            </w: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8．Word制作质量</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主要考察word制作质量。</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好（0.5分）：页面编排合理、美观，符合商业文案的基本要求；</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一般（0.3分）：页面编排基本合理，但缺乏文案写作基本要素，或存在语句不通、错别字问题；</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差（0分）：页面编排杂乱影响阅读，或者语句不通、错别字现象较多。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9．PPT制作质量</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主要考察ppt制作质量。</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好（0.5分）：</w:t>
            </w:r>
            <w:r>
              <w:rPr>
                <w:rFonts w:hint="eastAsia" w:ascii="Calibri" w:hAnsi="Calibri" w:cs="Times New Roman"/>
                <w:kern w:val="0"/>
                <w:sz w:val="24"/>
              </w:rPr>
              <w:t>页面布局合理，美观，图、文、表混排，文字、颜色符合基本审美</w:t>
            </w:r>
            <w:r>
              <w:rPr>
                <w:rFonts w:hint="eastAsia" w:cs="Times New Roman"/>
                <w:kern w:val="0"/>
                <w:sz w:val="24"/>
                <w:szCs w:val="24"/>
              </w:rPr>
              <w:t>；</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一般（0.3分）：</w:t>
            </w:r>
            <w:r>
              <w:rPr>
                <w:rFonts w:hint="eastAsia" w:ascii="Calibri" w:hAnsi="Calibri" w:cs="Times New Roman"/>
                <w:kern w:val="0"/>
                <w:sz w:val="24"/>
              </w:rPr>
              <w:t>页面布局基本合理，比“好”逊色</w:t>
            </w:r>
            <w:r>
              <w:rPr>
                <w:rFonts w:hint="eastAsia" w:cs="Times New Roman"/>
                <w:kern w:val="0"/>
                <w:sz w:val="24"/>
                <w:szCs w:val="24"/>
              </w:rPr>
              <w:t>；</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w:t>
            </w:r>
            <w:r>
              <w:rPr>
                <w:rFonts w:hint="eastAsia" w:ascii="Calibri" w:hAnsi="Calibri" w:cs="Times New Roman"/>
                <w:kern w:val="0"/>
                <w:sz w:val="24"/>
              </w:rPr>
              <w:t>页面布局杂乱，或者只有文字，或者字体太大、太小，颜色选取毫无审美可言。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restart"/>
            <w:vAlign w:val="center"/>
          </w:tcPr>
          <w:p>
            <w:pPr>
              <w:widowControl/>
              <w:snapToGrid w:val="0"/>
              <w:spacing w:line="240" w:lineRule="auto"/>
              <w:ind w:firstLine="0" w:firstLineChars="0"/>
              <w:jc w:val="center"/>
              <w:rPr>
                <w:rFonts w:cs="Times New Roman"/>
                <w:b/>
                <w:kern w:val="0"/>
                <w:sz w:val="24"/>
                <w:szCs w:val="24"/>
              </w:rPr>
            </w:pPr>
            <w:r>
              <w:rPr>
                <w:rFonts w:cs="Times New Roman"/>
                <w:b/>
                <w:kern w:val="0"/>
                <w:sz w:val="24"/>
              </w:rPr>
              <w:t>四、沟通表现及礼仪规范（3分）</w:t>
            </w: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10．团队配合</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主要考察团队合作能力。</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好（1分）：3-4人完成陈述任务，配合默契，无明显停顿；</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一般（0.5分）：2人或2人以上完成陈述任务，配合不默契；</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差（0分）：1个人完成陈述任务。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left"/>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11．时间掌控与语言</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主要考察时间管控能力与语言表达。</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好（1分）：普通话标准，声音洪亮，在5分钟内完成陈述任务；</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一般（0.5分）：在5分钟内完成陈述任务，但表现逊色；</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差（0分）：5分钟内未完成陈述任务。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Merge w:val="continue"/>
            <w:vAlign w:val="center"/>
          </w:tcPr>
          <w:p>
            <w:pPr>
              <w:widowControl/>
              <w:snapToGrid w:val="0"/>
              <w:spacing w:line="240" w:lineRule="auto"/>
              <w:ind w:firstLine="0" w:firstLineChars="0"/>
              <w:jc w:val="center"/>
              <w:rPr>
                <w:rFonts w:cs="Times New Roman"/>
                <w:b/>
                <w:kern w:val="0"/>
                <w:sz w:val="24"/>
                <w:szCs w:val="24"/>
              </w:rPr>
            </w:pPr>
          </w:p>
        </w:tc>
        <w:tc>
          <w:tcPr>
            <w:tcW w:w="6521" w:type="dxa"/>
            <w:vAlign w:val="center"/>
          </w:tcPr>
          <w:p>
            <w:pPr>
              <w:widowControl/>
              <w:snapToGrid w:val="0"/>
              <w:spacing w:line="240" w:lineRule="auto"/>
              <w:ind w:firstLine="0" w:firstLineChars="0"/>
              <w:rPr>
                <w:rFonts w:cs="Times New Roman"/>
                <w:b/>
                <w:kern w:val="0"/>
                <w:sz w:val="24"/>
                <w:szCs w:val="24"/>
              </w:rPr>
            </w:pPr>
            <w:r>
              <w:rPr>
                <w:rFonts w:cs="Times New Roman"/>
                <w:b/>
                <w:kern w:val="0"/>
                <w:sz w:val="24"/>
                <w:szCs w:val="24"/>
              </w:rPr>
              <w:t>12．礼仪与形象</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主要考察汇报的礼貌礼仪。</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好（1分）：衣着整洁，尊重评委，文明用语；</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一般（0.5分）：比“好”的标准表现逊色；</w:t>
            </w:r>
          </w:p>
          <w:p>
            <w:pPr>
              <w:widowControl/>
              <w:snapToGrid w:val="0"/>
              <w:spacing w:line="240" w:lineRule="auto"/>
              <w:ind w:firstLine="0" w:firstLineChars="0"/>
              <w:rPr>
                <w:rFonts w:cs="Times New Roman"/>
                <w:kern w:val="0"/>
                <w:sz w:val="24"/>
                <w:szCs w:val="24"/>
              </w:rPr>
            </w:pPr>
            <w:r>
              <w:rPr>
                <w:rFonts w:hint="eastAsia" w:cs="Times New Roman"/>
                <w:kern w:val="0"/>
                <w:sz w:val="24"/>
                <w:szCs w:val="24"/>
              </w:rPr>
              <w:t>差（0分）：不尊重评委。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838" w:type="dxa"/>
            <w:vAlign w:val="center"/>
          </w:tcPr>
          <w:p>
            <w:pPr>
              <w:widowControl/>
              <w:snapToGrid w:val="0"/>
              <w:spacing w:line="240" w:lineRule="auto"/>
              <w:ind w:firstLine="0" w:firstLineChars="0"/>
              <w:jc w:val="center"/>
              <w:rPr>
                <w:rFonts w:cs="Times New Roman"/>
                <w:b/>
                <w:kern w:val="0"/>
                <w:sz w:val="24"/>
                <w:szCs w:val="24"/>
              </w:rPr>
            </w:pPr>
            <w:r>
              <w:rPr>
                <w:rFonts w:cs="Times New Roman"/>
                <w:b/>
                <w:kern w:val="0"/>
                <w:sz w:val="24"/>
                <w:szCs w:val="24"/>
              </w:rPr>
              <w:t>五、否定项</w:t>
            </w:r>
          </w:p>
        </w:tc>
        <w:tc>
          <w:tcPr>
            <w:tcW w:w="6521" w:type="dxa"/>
            <w:vAlign w:val="center"/>
          </w:tcPr>
          <w:p>
            <w:pPr>
              <w:widowControl/>
              <w:snapToGrid w:val="0"/>
              <w:spacing w:line="240" w:lineRule="auto"/>
              <w:ind w:firstLine="0" w:firstLineChars="0"/>
              <w:rPr>
                <w:rFonts w:cs="Times New Roman"/>
                <w:kern w:val="0"/>
                <w:sz w:val="24"/>
                <w:szCs w:val="24"/>
              </w:rPr>
            </w:pPr>
            <w:r>
              <w:rPr>
                <w:rFonts w:cs="Times New Roman"/>
                <w:kern w:val="0"/>
                <w:sz w:val="24"/>
                <w:szCs w:val="24"/>
              </w:rPr>
              <w:t>在文案作品或学生汇报过程中，一旦出现任何学校或选手信息，该竞赛模块直接记为零分。</w:t>
            </w:r>
          </w:p>
        </w:tc>
      </w:tr>
    </w:tbl>
    <w:p>
      <w:pPr>
        <w:ind w:firstLine="560"/>
      </w:pPr>
      <w:r>
        <w:rPr>
          <w:rFonts w:hint="eastAsia"/>
        </w:rPr>
        <w:t>3．情境营销（客观题，70分）</w:t>
      </w:r>
    </w:p>
    <w:p>
      <w:pPr>
        <w:ind w:firstLine="560"/>
      </w:pPr>
      <w:r>
        <w:rPr>
          <w:rFonts w:hint="eastAsia"/>
        </w:rPr>
        <w:t>情境营销模块全程录屏。每个赛场各队经营三个会计年度关帐后，软件自动生成成绩，成绩=所有者权益*（1+企业综合总分/100）。中途破产的队伍按照破产先后顺序进行排序，如果在同一节点破产，则比较所有者权益。根据各队成绩排序，第一名70分，按照名次递减3分，第二名67分，依次类推。同时，裁判将审核录屏，一旦发现参赛团队有违规操作行为，则该模块记为0分。</w:t>
      </w:r>
    </w:p>
    <w:p>
      <w:pPr>
        <w:pStyle w:val="4"/>
        <w:ind w:firstLine="562"/>
      </w:pPr>
      <w:r>
        <w:rPr>
          <w:rFonts w:hint="eastAsia"/>
        </w:rPr>
        <w:t>（二）评分方法</w:t>
      </w:r>
    </w:p>
    <w:p>
      <w:pPr>
        <w:ind w:firstLine="0" w:firstLineChars="0"/>
      </w:pPr>
      <w:r>
        <w:t xml:space="preserve">    </w:t>
      </w:r>
      <w:r>
        <w:rPr>
          <w:rFonts w:hint="eastAsia"/>
        </w:rPr>
        <w:t>评分方法：评分方式为机考评分与结果评分。</w:t>
      </w:r>
    </w:p>
    <w:p>
      <w:pPr>
        <w:ind w:firstLine="560"/>
      </w:pPr>
      <w:r>
        <w:rPr>
          <w:rFonts w:hint="eastAsia"/>
        </w:rPr>
        <w:t>机考评分：参赛队伍（选手）登录答题系统，核实团队或个人信息后限时答题，竞赛结束前保存成果并提交。答题系统自动评分，显示成绩。裁判长实时汇总各赛位的成绩，经复核无误，由裁判长、监督人员和仲裁人员签字确认。</w:t>
      </w:r>
    </w:p>
    <w:p>
      <w:pPr>
        <w:ind w:firstLine="560"/>
      </w:pPr>
      <w:r>
        <w:rPr>
          <w:rFonts w:hint="eastAsia"/>
        </w:rPr>
        <w:t>结果评分由评分裁判依据评分标准判分。客观评分由两名评分裁判独立评分，客观评分不一致的须在计分前及时更正；主观评分由5名评分裁判独立评分，去掉一个最高分和一个最低分后，其余得分的算术平均值作为参赛队伍的最后得分。记分员在监督人员的现场监督下负责计分。经复核无误，由裁判长、监督人员和仲裁人员签字确认。</w:t>
      </w:r>
    </w:p>
    <w:p>
      <w:pPr>
        <w:ind w:firstLine="560"/>
      </w:pPr>
      <w:r>
        <w:rPr>
          <w:rFonts w:hint="eastAsia"/>
        </w:rPr>
        <w:t>在正式公布比赛成绩之前，任何人员不得随意泄露机考评分和结果评分的评分结果。</w:t>
      </w:r>
    </w:p>
    <w:p>
      <w:pPr>
        <w:ind w:firstLine="0" w:firstLineChars="0"/>
        <w:jc w:val="center"/>
        <w:rPr>
          <w:rFonts w:ascii="仿宋_GB2312" w:hAnsi="Calibri" w:cs="Times New Roman"/>
          <w:b/>
          <w:sz w:val="24"/>
          <w:szCs w:val="24"/>
        </w:rPr>
      </w:pPr>
      <w:r>
        <w:rPr>
          <w:rFonts w:hint="eastAsia" w:ascii="仿宋_GB2312" w:hAnsi="Calibri" w:cs="Times New Roman"/>
          <w:b/>
          <w:sz w:val="24"/>
          <w:szCs w:val="24"/>
        </w:rPr>
        <w:t>表</w:t>
      </w:r>
      <w:r>
        <w:rPr>
          <w:rFonts w:ascii="仿宋_GB2312" w:hAnsi="Calibri" w:cs="Times New Roman"/>
          <w:b/>
          <w:sz w:val="24"/>
          <w:szCs w:val="24"/>
        </w:rPr>
        <w:t xml:space="preserve">6 </w:t>
      </w:r>
      <w:r>
        <w:rPr>
          <w:rFonts w:hint="eastAsia" w:ascii="仿宋_GB2312" w:hAnsi="Calibri" w:cs="Times New Roman"/>
          <w:b/>
          <w:sz w:val="24"/>
          <w:szCs w:val="24"/>
        </w:rPr>
        <w:t>评分方法</w:t>
      </w:r>
    </w:p>
    <w:tbl>
      <w:tblPr>
        <w:tblStyle w:val="9"/>
        <w:tblW w:w="8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851"/>
        <w:gridCol w:w="2977"/>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b/>
                <w:sz w:val="24"/>
                <w:szCs w:val="24"/>
              </w:rPr>
            </w:pPr>
            <w:r>
              <w:rPr>
                <w:rFonts w:cs="Times New Roman"/>
                <w:b/>
                <w:sz w:val="24"/>
                <w:szCs w:val="24"/>
              </w:rPr>
              <w:t>比赛内容</w:t>
            </w:r>
          </w:p>
        </w:tc>
        <w:tc>
          <w:tcPr>
            <w:tcW w:w="851" w:type="dxa"/>
            <w:vAlign w:val="center"/>
          </w:tcPr>
          <w:p>
            <w:pPr>
              <w:spacing w:line="240" w:lineRule="auto"/>
              <w:ind w:firstLine="0" w:firstLineChars="0"/>
              <w:jc w:val="center"/>
              <w:rPr>
                <w:rFonts w:cs="Times New Roman"/>
                <w:b/>
                <w:sz w:val="24"/>
                <w:szCs w:val="24"/>
              </w:rPr>
            </w:pPr>
            <w:r>
              <w:rPr>
                <w:rFonts w:cs="Times New Roman"/>
                <w:b/>
                <w:sz w:val="24"/>
                <w:szCs w:val="24"/>
              </w:rPr>
              <w:t>分值</w:t>
            </w:r>
          </w:p>
        </w:tc>
        <w:tc>
          <w:tcPr>
            <w:tcW w:w="2977" w:type="dxa"/>
            <w:vAlign w:val="center"/>
          </w:tcPr>
          <w:p>
            <w:pPr>
              <w:spacing w:line="240" w:lineRule="auto"/>
              <w:ind w:firstLine="0" w:firstLineChars="0"/>
              <w:jc w:val="center"/>
              <w:rPr>
                <w:rFonts w:cs="Times New Roman"/>
                <w:b/>
                <w:sz w:val="24"/>
                <w:szCs w:val="24"/>
              </w:rPr>
            </w:pPr>
            <w:r>
              <w:rPr>
                <w:rFonts w:cs="Times New Roman"/>
                <w:b/>
                <w:sz w:val="24"/>
                <w:szCs w:val="24"/>
              </w:rPr>
              <w:t>评分方法</w:t>
            </w:r>
          </w:p>
        </w:tc>
        <w:tc>
          <w:tcPr>
            <w:tcW w:w="2945" w:type="dxa"/>
            <w:vAlign w:val="center"/>
          </w:tcPr>
          <w:p>
            <w:pPr>
              <w:spacing w:line="240" w:lineRule="auto"/>
              <w:ind w:firstLine="0" w:firstLineChars="0"/>
              <w:jc w:val="center"/>
              <w:rPr>
                <w:rFonts w:cs="Times New Roman"/>
                <w:b/>
                <w:sz w:val="24"/>
                <w:szCs w:val="24"/>
              </w:rPr>
            </w:pPr>
            <w:r>
              <w:rPr>
                <w:rFonts w:cs="Times New Roman"/>
                <w:b/>
                <w:sz w:val="24"/>
                <w:szCs w:val="24"/>
              </w:rPr>
              <w:t>审核方法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商务数据分析</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15</w:t>
            </w:r>
          </w:p>
        </w:tc>
        <w:tc>
          <w:tcPr>
            <w:tcW w:w="2977" w:type="dxa"/>
            <w:vAlign w:val="center"/>
          </w:tcPr>
          <w:p>
            <w:pPr>
              <w:spacing w:line="240" w:lineRule="auto"/>
              <w:ind w:firstLine="0" w:firstLineChars="0"/>
              <w:jc w:val="left"/>
              <w:rPr>
                <w:rFonts w:cs="Times New Roman"/>
                <w:sz w:val="24"/>
                <w:szCs w:val="24"/>
              </w:rPr>
            </w:pPr>
            <w:r>
              <w:rPr>
                <w:rFonts w:cs="Times New Roman"/>
                <w:sz w:val="24"/>
                <w:szCs w:val="24"/>
              </w:rPr>
              <w:t>填空题为机考评分，软件自动评分，制图题为客观结果评分，评分裁判评分</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裁判</w:t>
            </w:r>
            <w:r>
              <w:rPr>
                <w:rFonts w:hint="eastAsia" w:cs="Times New Roman"/>
                <w:sz w:val="24"/>
                <w:szCs w:val="24"/>
              </w:rPr>
              <w:t>长</w:t>
            </w:r>
            <w:r>
              <w:rPr>
                <w:rFonts w:cs="Times New Roman"/>
                <w:sz w:val="24"/>
                <w:szCs w:val="24"/>
              </w:rPr>
              <w:t>、监督、仲裁签字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营销实战</w:t>
            </w:r>
            <w:r>
              <w:rPr>
                <w:rFonts w:hint="eastAsia" w:cs="Times New Roman"/>
                <w:sz w:val="24"/>
                <w:szCs w:val="24"/>
              </w:rPr>
              <w:t>展示</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15</w:t>
            </w:r>
          </w:p>
        </w:tc>
        <w:tc>
          <w:tcPr>
            <w:tcW w:w="2977" w:type="dxa"/>
            <w:vAlign w:val="center"/>
          </w:tcPr>
          <w:p>
            <w:pPr>
              <w:spacing w:line="240" w:lineRule="auto"/>
              <w:ind w:firstLine="0" w:firstLineChars="0"/>
              <w:jc w:val="left"/>
              <w:rPr>
                <w:rFonts w:cs="Times New Roman"/>
                <w:sz w:val="24"/>
                <w:szCs w:val="24"/>
              </w:rPr>
            </w:pPr>
            <w:r>
              <w:rPr>
                <w:rFonts w:cs="Times New Roman"/>
                <w:sz w:val="24"/>
                <w:szCs w:val="24"/>
              </w:rPr>
              <w:t>主观结果评分，由5名评分裁判根据评分标准进行评分，去掉一个最高分和一个最低分后取平均值</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裁判</w:t>
            </w:r>
            <w:r>
              <w:rPr>
                <w:rFonts w:hint="eastAsia" w:cs="Times New Roman"/>
                <w:sz w:val="24"/>
                <w:szCs w:val="24"/>
              </w:rPr>
              <w:t>长</w:t>
            </w:r>
            <w:r>
              <w:rPr>
                <w:rFonts w:cs="Times New Roman"/>
                <w:sz w:val="24"/>
                <w:szCs w:val="24"/>
              </w:rPr>
              <w:t>、监督、仲裁签字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696" w:type="dxa"/>
            <w:vAlign w:val="center"/>
          </w:tcPr>
          <w:p>
            <w:pPr>
              <w:spacing w:line="240" w:lineRule="auto"/>
              <w:ind w:firstLine="0" w:firstLineChars="0"/>
              <w:jc w:val="center"/>
              <w:rPr>
                <w:rFonts w:cs="Times New Roman"/>
                <w:sz w:val="24"/>
                <w:szCs w:val="24"/>
              </w:rPr>
            </w:pPr>
            <w:r>
              <w:rPr>
                <w:rFonts w:cs="Times New Roman"/>
                <w:sz w:val="24"/>
                <w:szCs w:val="24"/>
              </w:rPr>
              <w:t>情境营销</w:t>
            </w:r>
          </w:p>
        </w:tc>
        <w:tc>
          <w:tcPr>
            <w:tcW w:w="851" w:type="dxa"/>
            <w:vAlign w:val="center"/>
          </w:tcPr>
          <w:p>
            <w:pPr>
              <w:spacing w:line="240" w:lineRule="auto"/>
              <w:ind w:firstLine="0" w:firstLineChars="0"/>
              <w:jc w:val="center"/>
              <w:rPr>
                <w:rFonts w:cs="Times New Roman"/>
                <w:sz w:val="24"/>
                <w:szCs w:val="24"/>
              </w:rPr>
            </w:pPr>
            <w:r>
              <w:rPr>
                <w:rFonts w:cs="Times New Roman"/>
                <w:sz w:val="24"/>
                <w:szCs w:val="24"/>
              </w:rPr>
              <w:t>70</w:t>
            </w:r>
          </w:p>
        </w:tc>
        <w:tc>
          <w:tcPr>
            <w:tcW w:w="2977" w:type="dxa"/>
            <w:vAlign w:val="center"/>
          </w:tcPr>
          <w:p>
            <w:pPr>
              <w:spacing w:line="240" w:lineRule="auto"/>
              <w:ind w:firstLine="0" w:firstLineChars="0"/>
              <w:jc w:val="left"/>
              <w:rPr>
                <w:rFonts w:cs="Times New Roman"/>
                <w:sz w:val="24"/>
                <w:szCs w:val="24"/>
              </w:rPr>
            </w:pPr>
            <w:r>
              <w:rPr>
                <w:rFonts w:cs="Times New Roman"/>
                <w:sz w:val="24"/>
                <w:szCs w:val="24"/>
              </w:rPr>
              <w:t>机考评分</w:t>
            </w:r>
          </w:p>
        </w:tc>
        <w:tc>
          <w:tcPr>
            <w:tcW w:w="2945" w:type="dxa"/>
            <w:vAlign w:val="center"/>
          </w:tcPr>
          <w:p>
            <w:pPr>
              <w:spacing w:line="240" w:lineRule="auto"/>
              <w:ind w:firstLine="0" w:firstLineChars="0"/>
              <w:jc w:val="left"/>
              <w:rPr>
                <w:rFonts w:cs="Times New Roman"/>
                <w:sz w:val="24"/>
                <w:szCs w:val="24"/>
              </w:rPr>
            </w:pPr>
            <w:r>
              <w:rPr>
                <w:rFonts w:cs="Times New Roman"/>
                <w:sz w:val="24"/>
                <w:szCs w:val="24"/>
              </w:rPr>
              <w:t>参赛选手、现场裁判、裁判长、监督、仲裁签字</w:t>
            </w:r>
          </w:p>
        </w:tc>
      </w:tr>
    </w:tbl>
    <w:p>
      <w:pPr>
        <w:ind w:firstLine="560"/>
      </w:pPr>
      <w:r>
        <w:rPr>
          <w:rFonts w:hint="eastAsia"/>
        </w:rPr>
        <w:t>3．成绩复核：为保障成绩评判的准确性，监督组将对赛项总成绩排名前30%的所有参赛队伍的成绩进行复核；对其余成绩进行抽检复核，抽检覆盖率不得低于15%。监督组须将复检中发现的错误以书面方式及时告知裁判长，由裁判长更正成绩并签字确认。复核、抽检错误率超过5%的，裁判组须对所有成绩进行复核。</w:t>
      </w:r>
    </w:p>
    <w:p>
      <w:pPr>
        <w:ind w:firstLine="560"/>
      </w:pPr>
      <w:r>
        <w:rPr>
          <w:rFonts w:hint="eastAsia"/>
        </w:rPr>
        <w:t>4．解密：裁判长正式提交赛位评分结果并复核无误后，加密裁判在监督人员监督下对加密结果进行逐层解密。</w:t>
      </w:r>
    </w:p>
    <w:p>
      <w:pPr>
        <w:ind w:firstLine="560"/>
      </w:pPr>
      <w:r>
        <w:rPr>
          <w:rFonts w:hint="eastAsia"/>
        </w:rPr>
        <w:t>5．赛项最终得分：按100分制计分。</w:t>
      </w:r>
    </w:p>
    <w:p>
      <w:pPr>
        <w:ind w:firstLine="560"/>
      </w:pPr>
      <w:r>
        <w:rPr>
          <w:rFonts w:hint="eastAsia"/>
        </w:rPr>
        <w:t>6．成绩公布：记分员将解密后的各参赛队伍成绩汇总成比赛成绩，经裁判长、监督组签字后，公布比赛结果。公布2小时无异议后，将赛项总成绩的最终结果录入赛务管理系统，经裁判长、监督组长和仲裁长在系统导出成绩单上审核签字后，在闭赛式上宣布并颁发证书。</w:t>
      </w:r>
    </w:p>
    <w:p>
      <w:pPr>
        <w:pStyle w:val="3"/>
        <w:ind w:firstLine="562"/>
      </w:pPr>
      <w:r>
        <w:rPr>
          <w:rFonts w:hint="eastAsia"/>
        </w:rPr>
        <w:t>十二、赛项安全</w:t>
      </w:r>
    </w:p>
    <w:p>
      <w:pPr>
        <w:ind w:firstLine="560"/>
      </w:pPr>
      <w:r>
        <w:rPr>
          <w:rFonts w:hint="eastAsia"/>
        </w:rPr>
        <w:t>按照《全国职业院校技能大赛安全管理规定》的有关要求，依据申报赛项自身特点，明确所需的安全保障措施。</w:t>
      </w:r>
    </w:p>
    <w:p>
      <w:pPr>
        <w:pStyle w:val="4"/>
        <w:ind w:firstLine="562"/>
      </w:pPr>
      <w:r>
        <w:rPr>
          <w:rFonts w:hint="eastAsia"/>
        </w:rPr>
        <w:t>（一）赛项安全</w:t>
      </w:r>
    </w:p>
    <w:p>
      <w:pPr>
        <w:ind w:firstLine="560"/>
      </w:pPr>
      <w:r>
        <w:rPr>
          <w:rFonts w:hint="eastAsia"/>
        </w:rPr>
        <w:t>1．比赛内容涉及的器材、设备应符合国家有关安全规定。每台选手计算机桌面上放置《赛项安全文明操作说明》。</w:t>
      </w:r>
    </w:p>
    <w:p>
      <w:pPr>
        <w:ind w:firstLine="560"/>
      </w:pPr>
      <w:r>
        <w:rPr>
          <w:rFonts w:hint="eastAsia"/>
        </w:rPr>
        <w:t>2．赛项执委会须制定专门方案保证比赛命题以及赛题保管、发放、回收和评判过程的安全。</w:t>
      </w:r>
    </w:p>
    <w:p>
      <w:pPr>
        <w:pStyle w:val="4"/>
        <w:ind w:firstLine="562"/>
      </w:pPr>
      <w:r>
        <w:rPr>
          <w:rFonts w:hint="eastAsia"/>
        </w:rPr>
        <w:t>（二）比赛环境安全</w:t>
      </w:r>
    </w:p>
    <w:p>
      <w:pPr>
        <w:ind w:firstLine="560"/>
      </w:pPr>
      <w:r>
        <w:rPr>
          <w:rFonts w:hint="eastAsia"/>
        </w:rPr>
        <w:t>1．执委会在赛前组织专人对比赛现场、住宿场所和交通保障进行考察，并对安全工作提出明确要求。赛场的布置，赛场内的器材、设备，符合国家有关安全规定。承办单位赛前按照执委会要求排除安全隐患。</w:t>
      </w:r>
    </w:p>
    <w:p>
      <w:pPr>
        <w:ind w:firstLine="560"/>
      </w:pPr>
      <w:r>
        <w:rPr>
          <w:rFonts w:hint="eastAsia"/>
        </w:rPr>
        <w:t>2．赛场周围设立警戒线，防止无关人员进入，发生意外事件。比赛现场内参照相关职业岗位的要求为选手提供必要的劳动保护。在具有危险性的操作环节，裁判员会严防选手出现错误操作。</w:t>
      </w:r>
    </w:p>
    <w:p>
      <w:pPr>
        <w:ind w:firstLine="560"/>
      </w:pPr>
      <w:r>
        <w:rPr>
          <w:rFonts w:hint="eastAsia"/>
        </w:rPr>
        <w:t>3．承办院校提供保证应急预案实施的条件。对于比赛内容涉及高空作业、可能有坠物、大用电量、易发生火灾等情况的赛项，明确制度和预案，并配备急救人员与抢救设施。</w:t>
      </w:r>
    </w:p>
    <w:p>
      <w:pPr>
        <w:ind w:firstLine="560"/>
      </w:pPr>
      <w:r>
        <w:rPr>
          <w:rFonts w:hint="eastAsia"/>
        </w:rPr>
        <w:t>4．执委会会同承办院校制定开放赛场和体验区的人员疏导方案。赛场环境中如存在人员密集、车流与人流交错的区域，除了设置齐全的指示标志外，还会增加引导人员，并开辟备用通道。</w:t>
      </w:r>
    </w:p>
    <w:p>
      <w:pPr>
        <w:ind w:firstLine="560"/>
      </w:pPr>
      <w:r>
        <w:rPr>
          <w:rFonts w:hint="eastAsia"/>
        </w:rPr>
        <w:t>5．大赛期间，承办院校在赛场管理的关键岗位，增加力量，建立安全管理日志。</w:t>
      </w:r>
    </w:p>
    <w:p>
      <w:pPr>
        <w:ind w:firstLine="560"/>
        <w:rPr>
          <w:rFonts w:hint="eastAsia"/>
        </w:rPr>
      </w:pPr>
      <w:r>
        <w:rPr>
          <w:rFonts w:hint="eastAsia"/>
        </w:rPr>
        <w:t>6．参赛选手、赛项裁判、工作人员严禁携带通讯、摄录设备和未经许可的记录用具进入比赛区域；如确有需要，由赛项承办单位统一配置，统一管理。赛项根据需要配置安检设备，对进入赛场重要区域的人员进行安检，在赛场相关区域安放无线屏蔽设备。</w:t>
      </w:r>
    </w:p>
    <w:p>
      <w:pPr>
        <w:pStyle w:val="4"/>
        <w:ind w:firstLine="562"/>
      </w:pPr>
      <w:r>
        <w:rPr>
          <w:rFonts w:hint="eastAsia"/>
        </w:rPr>
        <w:t>（四）参赛队责任</w:t>
      </w:r>
    </w:p>
    <w:p>
      <w:pPr>
        <w:ind w:firstLine="560"/>
      </w:pPr>
      <w:r>
        <w:rPr>
          <w:rFonts w:hint="eastAsia"/>
        </w:rPr>
        <w:t>1．各学校在组织参赛队时，须为参赛选手购买大赛期间的人身意外伤害保险。</w:t>
      </w:r>
    </w:p>
    <w:p>
      <w:pPr>
        <w:ind w:firstLine="560"/>
      </w:pPr>
      <w:r>
        <w:rPr>
          <w:rFonts w:hint="eastAsia"/>
        </w:rPr>
        <w:t>2．参赛队组成后，须制定相关安全管理制度，落实安全责任制，确定安全责任人，签订安全承诺书，与赛项责任单位一起共同确保参赛期间参赛人员的人身财产安全。</w:t>
      </w:r>
    </w:p>
    <w:p>
      <w:pPr>
        <w:ind w:firstLine="560"/>
      </w:pPr>
      <w:r>
        <w:rPr>
          <w:rFonts w:hint="eastAsia"/>
        </w:rPr>
        <w:t>3．各参赛队伍须加强对参与比赛人员的安全管理，实现与赛场安全管理的对接。</w:t>
      </w:r>
    </w:p>
    <w:p>
      <w:pPr>
        <w:pStyle w:val="3"/>
        <w:ind w:firstLine="562"/>
      </w:pPr>
      <w:r>
        <w:rPr>
          <w:rFonts w:hint="eastAsia"/>
        </w:rPr>
        <w:t>十三、竞赛须知</w:t>
      </w:r>
    </w:p>
    <w:p>
      <w:pPr>
        <w:pStyle w:val="4"/>
        <w:ind w:firstLine="562"/>
      </w:pPr>
      <w:r>
        <w:rPr>
          <w:rFonts w:hint="eastAsia"/>
        </w:rPr>
        <w:t>（一）参赛队须知</w:t>
      </w:r>
    </w:p>
    <w:p>
      <w:pPr>
        <w:ind w:firstLine="560"/>
      </w:pPr>
      <w:r>
        <w:rPr>
          <w:rFonts w:hint="eastAsia"/>
        </w:rPr>
        <w:t>1．参赛队应该参加赛项执委会组织的领队会、闭赛式等各项赛事活动。</w:t>
      </w:r>
    </w:p>
    <w:p>
      <w:pPr>
        <w:ind w:firstLine="560"/>
      </w:pPr>
      <w:r>
        <w:rPr>
          <w:rFonts w:hint="eastAsia"/>
        </w:rPr>
        <w:t>2．在赛事期间，领队及参赛队其他成员不得私自接触裁判，凡发现有不当行为的，取消其参赛资格，成绩无效。</w:t>
      </w:r>
    </w:p>
    <w:p>
      <w:pPr>
        <w:ind w:firstLine="560"/>
      </w:pPr>
      <w:r>
        <w:rPr>
          <w:rFonts w:hint="eastAsia"/>
        </w:rPr>
        <w:t>3．所有参赛人员须按照赛项规程要求按时完成赛项赛后评价工作。</w:t>
      </w:r>
    </w:p>
    <w:p>
      <w:pPr>
        <w:ind w:firstLine="560"/>
      </w:pPr>
      <w:r>
        <w:t>4</w:t>
      </w:r>
      <w:r>
        <w:rPr>
          <w:rFonts w:hint="eastAsia"/>
        </w:rPr>
        <w:t>．对于有碍比赛公正和比赛正常进行的参赛队，视其情节轻重，按照《全国职业院校技能大赛奖惩办法》给予警告、取消比赛成绩、通报批评等处理。其中，对于比赛过程及有关活动造成恶劣影响的，以适当方式通告参赛院校或其教育行政主管部门依据有关规定给予行政或纪律处分，同时停止该院校参加全国职业院校技能大赛 1 年。涉及刑事犯罪的移交司法机关处理。</w:t>
      </w:r>
    </w:p>
    <w:p>
      <w:pPr>
        <w:pStyle w:val="4"/>
        <w:ind w:firstLine="562"/>
      </w:pPr>
      <w:r>
        <w:rPr>
          <w:rFonts w:hint="eastAsia"/>
        </w:rPr>
        <w:t>（二）指导教师须知</w:t>
      </w:r>
    </w:p>
    <w:p>
      <w:pPr>
        <w:ind w:firstLine="560"/>
      </w:pPr>
      <w:r>
        <w:rPr>
          <w:rFonts w:hint="eastAsia"/>
        </w:rPr>
        <w:t>1．指导教师应该根据专业教学计划和赛项规程合理制定训练方案，认真指导选手训练，培养选手的综合职业能力和良好的职业素养，克服功利化思想，避免为赛而学、以赛代学。</w:t>
      </w:r>
    </w:p>
    <w:p>
      <w:pPr>
        <w:ind w:firstLine="560"/>
      </w:pPr>
      <w:r>
        <w:rPr>
          <w:rFonts w:hint="eastAsia"/>
        </w:rPr>
        <w:t>2．指导教师应该根据赛项规程要求做好参赛选手保险办理工作，并积极做好选手的安全教育。</w:t>
      </w:r>
    </w:p>
    <w:p>
      <w:pPr>
        <w:ind w:firstLine="560"/>
      </w:pPr>
      <w:r>
        <w:rPr>
          <w:rFonts w:hint="eastAsia"/>
        </w:rPr>
        <w:t>3．指导教师参加赛项观摩等活动，不得违反赛项规定进入赛场，干扰比赛正常进行。</w:t>
      </w:r>
    </w:p>
    <w:p>
      <w:pPr>
        <w:ind w:firstLine="560"/>
      </w:pPr>
      <w:r>
        <w:rPr>
          <w:rFonts w:hint="eastAsia"/>
        </w:rPr>
        <w:t>4．指导教师应自觉遵守大赛各项制度，尊重专家、裁判、仲裁及赛项承办单位工作人员。要引导和教育参赛选手对于认为有影响个人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pPr>
        <w:pStyle w:val="4"/>
        <w:ind w:firstLine="562"/>
      </w:pPr>
      <w:r>
        <w:rPr>
          <w:rFonts w:hint="eastAsia"/>
        </w:rPr>
        <w:t>（三）参赛选手须知</w:t>
      </w:r>
    </w:p>
    <w:p>
      <w:pPr>
        <w:ind w:firstLine="560"/>
      </w:pPr>
      <w:r>
        <w:rPr>
          <w:rFonts w:hint="eastAsia"/>
        </w:rPr>
        <w:t>1．参赛选手应该文明参赛，服从裁判统一指挥，尊重赛场工作人员，自觉维护赛场秩序。如参赛选手因对裁判不服从而停止比赛，则以弃权处理。</w:t>
      </w:r>
    </w:p>
    <w:p>
      <w:pPr>
        <w:ind w:firstLine="560"/>
      </w:pPr>
      <w:r>
        <w:rPr>
          <w:rFonts w:hint="eastAsia"/>
        </w:rPr>
        <w:t>2．参赛选手须严格遵守安全操作流程，按规范要求操作竞赛设备，防止发生安全事故。参赛选手一旦出现较严重的安全事故，经总裁判长批准后将立即取消其参赛资格。</w:t>
      </w:r>
    </w:p>
    <w:p>
      <w:pPr>
        <w:ind w:firstLine="560"/>
      </w:pPr>
      <w:r>
        <w:rPr>
          <w:rFonts w:hint="eastAsia"/>
        </w:rPr>
        <w:t>3．参赛选手应该爱护赛场使用的设备、仪器等，不得人为损坏比赛所使用的仪器设备。</w:t>
      </w:r>
    </w:p>
    <w:p>
      <w:pPr>
        <w:ind w:firstLine="560"/>
      </w:pPr>
      <w:r>
        <w:rPr>
          <w:rFonts w:hint="eastAsia"/>
        </w:rPr>
        <w:t>4．参赛选手应提前15分钟抵达赛场，凭参赛证、学生证、身份证件检录，按要求入场，不得迟到早退。不允许随身携带任何电子产品及通讯工具，以及其它与竞赛有关的资料和书籍，不得以任何方式泄露参赛院校、选手姓名等涉及竞赛场上应该保密的信息。</w:t>
      </w:r>
    </w:p>
    <w:p>
      <w:pPr>
        <w:ind w:firstLine="560"/>
      </w:pPr>
      <w:r>
        <w:t>5</w:t>
      </w:r>
      <w:r>
        <w:rPr>
          <w:rFonts w:hint="eastAsia"/>
        </w:rPr>
        <w:t>．参赛选手应按抽签结果在指定位置就坐。</w:t>
      </w:r>
    </w:p>
    <w:p>
      <w:pPr>
        <w:ind w:firstLine="560"/>
      </w:pPr>
      <w:r>
        <w:t>6</w:t>
      </w:r>
      <w:r>
        <w:rPr>
          <w:rFonts w:hint="eastAsia"/>
        </w:rPr>
        <w:t>．参赛选手须在确认竞赛内容和现场设备等无误后开始竞赛。在竞赛过程中，如有疑问，参赛选手应举手示意，现场裁判应按照有关要求及时予以答疑。</w:t>
      </w:r>
    </w:p>
    <w:p>
      <w:pPr>
        <w:ind w:firstLine="560"/>
      </w:pPr>
      <w:r>
        <w:t>7</w:t>
      </w:r>
      <w:r>
        <w:rPr>
          <w:rFonts w:hint="eastAsia"/>
        </w:rPr>
        <w:t>．参赛选手对于认为有影响个人比赛成绩的裁判行为或设备故障等，应向指导老师反映，由指导老师按大赛制度规定进行申诉。参赛选手不得利用比赛相关的微信群、QQ群发表虚假信息和不当言论。</w:t>
      </w:r>
    </w:p>
    <w:p>
      <w:pPr>
        <w:pStyle w:val="4"/>
        <w:ind w:firstLine="562"/>
      </w:pPr>
      <w:r>
        <w:rPr>
          <w:rFonts w:hint="eastAsia"/>
        </w:rPr>
        <w:t>（四）工作人员须知</w:t>
      </w:r>
    </w:p>
    <w:p>
      <w:pPr>
        <w:ind w:firstLine="560"/>
      </w:pPr>
      <w:r>
        <w:rPr>
          <w:rFonts w:hint="eastAsia"/>
        </w:rPr>
        <w:t>1．工作人员必须统一佩戴由大赛组委会签发的相应证件，着装整齐。</w:t>
      </w:r>
    </w:p>
    <w:p>
      <w:pPr>
        <w:ind w:firstLine="560"/>
      </w:pPr>
      <w:r>
        <w:rPr>
          <w:rFonts w:hint="eastAsia"/>
        </w:rPr>
        <w:t>2．工作人员不得影响参赛选手比赛，不允许有影响比赛公平的行为。</w:t>
      </w:r>
    </w:p>
    <w:p>
      <w:pPr>
        <w:ind w:firstLine="560"/>
      </w:pPr>
      <w:r>
        <w:rPr>
          <w:rFonts w:hint="eastAsia"/>
        </w:rPr>
        <w:t>3．服从领导，听从指挥，以高度负责的精神、严肃认真的态度做好各项工作。</w:t>
      </w:r>
    </w:p>
    <w:p>
      <w:pPr>
        <w:ind w:firstLine="560"/>
      </w:pPr>
      <w:r>
        <w:rPr>
          <w:rFonts w:hint="eastAsia"/>
        </w:rPr>
        <w:t>4．熟悉比赛规程，认真遵守各项比赛规则和工作要求。</w:t>
      </w:r>
    </w:p>
    <w:p>
      <w:pPr>
        <w:ind w:firstLine="560"/>
      </w:pPr>
      <w:r>
        <w:rPr>
          <w:rFonts w:hint="eastAsia"/>
        </w:rPr>
        <w:t>5．坚守岗位，如有急事需要离开岗位时，应经领导同意，并做好工作衔接。</w:t>
      </w:r>
    </w:p>
    <w:p>
      <w:pPr>
        <w:ind w:firstLine="560"/>
      </w:pPr>
      <w:r>
        <w:rPr>
          <w:rFonts w:hint="eastAsia"/>
        </w:rPr>
        <w:t>6．严格遵守比赛纪律，如发现其他人员有违反比赛纪律的行为，应予以制止。情节严重的，应向竞赛组委会反映。</w:t>
      </w:r>
    </w:p>
    <w:p>
      <w:pPr>
        <w:ind w:firstLine="560"/>
      </w:pPr>
      <w:r>
        <w:rPr>
          <w:rFonts w:hint="eastAsia"/>
        </w:rPr>
        <w:t>7．发扬无私奉献和团结协作的精神，提供热情、优质服务。</w:t>
      </w:r>
    </w:p>
    <w:p>
      <w:pPr>
        <w:ind w:firstLine="560"/>
      </w:pPr>
      <w:r>
        <w:t xml:space="preserve"> </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680" w:gutter="0"/>
      <w:pgNumType w:start="1"/>
      <w:cols w:space="425"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OEEEEV+FZHTJW--GB1-0">
    <w:altName w:val="宋体"/>
    <w:panose1 w:val="00000000000000000000"/>
    <w:charset w:val="86"/>
    <w:family w:val="roman"/>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PROKST+FZFSJW--GB1-0">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3232114"/>
      <w:docPartObj>
        <w:docPartGallery w:val="autotext"/>
      </w:docPartObj>
    </w:sdtPr>
    <w:sdtContent>
      <w:p>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745"/>
    <w:rsid w:val="0001096F"/>
    <w:rsid w:val="00042345"/>
    <w:rsid w:val="00063D53"/>
    <w:rsid w:val="00065D67"/>
    <w:rsid w:val="000A2775"/>
    <w:rsid w:val="000F471E"/>
    <w:rsid w:val="00124899"/>
    <w:rsid w:val="00141526"/>
    <w:rsid w:val="00182B0F"/>
    <w:rsid w:val="001C38C7"/>
    <w:rsid w:val="00206EB1"/>
    <w:rsid w:val="00227580"/>
    <w:rsid w:val="00255003"/>
    <w:rsid w:val="00263F2C"/>
    <w:rsid w:val="00292922"/>
    <w:rsid w:val="002B5C0C"/>
    <w:rsid w:val="002D0E3F"/>
    <w:rsid w:val="002F28B7"/>
    <w:rsid w:val="002F756D"/>
    <w:rsid w:val="003132CE"/>
    <w:rsid w:val="00313B0D"/>
    <w:rsid w:val="00382AF2"/>
    <w:rsid w:val="0039775F"/>
    <w:rsid w:val="003E7F4C"/>
    <w:rsid w:val="004968D9"/>
    <w:rsid w:val="004B7110"/>
    <w:rsid w:val="004C17C6"/>
    <w:rsid w:val="004C7980"/>
    <w:rsid w:val="004D50F7"/>
    <w:rsid w:val="004F2BED"/>
    <w:rsid w:val="00534745"/>
    <w:rsid w:val="005460A2"/>
    <w:rsid w:val="00550677"/>
    <w:rsid w:val="005722EA"/>
    <w:rsid w:val="00580D24"/>
    <w:rsid w:val="00584845"/>
    <w:rsid w:val="0059798B"/>
    <w:rsid w:val="005B2DAF"/>
    <w:rsid w:val="005B7A4A"/>
    <w:rsid w:val="005F0883"/>
    <w:rsid w:val="00661C16"/>
    <w:rsid w:val="006B1FF2"/>
    <w:rsid w:val="006C2BBC"/>
    <w:rsid w:val="006C55B6"/>
    <w:rsid w:val="006D296C"/>
    <w:rsid w:val="006E1548"/>
    <w:rsid w:val="00756474"/>
    <w:rsid w:val="007654C2"/>
    <w:rsid w:val="007A094C"/>
    <w:rsid w:val="007B400B"/>
    <w:rsid w:val="007B704E"/>
    <w:rsid w:val="00801726"/>
    <w:rsid w:val="0088150B"/>
    <w:rsid w:val="008B07A4"/>
    <w:rsid w:val="008E44C2"/>
    <w:rsid w:val="008F488F"/>
    <w:rsid w:val="009132EC"/>
    <w:rsid w:val="00924FC5"/>
    <w:rsid w:val="009472B9"/>
    <w:rsid w:val="00963A55"/>
    <w:rsid w:val="00963EC4"/>
    <w:rsid w:val="009719C3"/>
    <w:rsid w:val="00997AB9"/>
    <w:rsid w:val="009C51BC"/>
    <w:rsid w:val="00A20FF5"/>
    <w:rsid w:val="00A5177E"/>
    <w:rsid w:val="00A620DD"/>
    <w:rsid w:val="00A6499B"/>
    <w:rsid w:val="00A701AB"/>
    <w:rsid w:val="00A90D8A"/>
    <w:rsid w:val="00AA7900"/>
    <w:rsid w:val="00AC7E31"/>
    <w:rsid w:val="00AE66AD"/>
    <w:rsid w:val="00AF608C"/>
    <w:rsid w:val="00B14588"/>
    <w:rsid w:val="00B21C0F"/>
    <w:rsid w:val="00B461F5"/>
    <w:rsid w:val="00B71288"/>
    <w:rsid w:val="00B80AD6"/>
    <w:rsid w:val="00B9608B"/>
    <w:rsid w:val="00BB2776"/>
    <w:rsid w:val="00BC035A"/>
    <w:rsid w:val="00BD3114"/>
    <w:rsid w:val="00C13BB4"/>
    <w:rsid w:val="00C27160"/>
    <w:rsid w:val="00C94217"/>
    <w:rsid w:val="00CC22E8"/>
    <w:rsid w:val="00CF6DB2"/>
    <w:rsid w:val="00D05BAB"/>
    <w:rsid w:val="00D149ED"/>
    <w:rsid w:val="00D306EE"/>
    <w:rsid w:val="00D67E08"/>
    <w:rsid w:val="00D82EC8"/>
    <w:rsid w:val="00D868CD"/>
    <w:rsid w:val="00DA3861"/>
    <w:rsid w:val="00DA49AF"/>
    <w:rsid w:val="00DB4C76"/>
    <w:rsid w:val="00E21622"/>
    <w:rsid w:val="00E47C7E"/>
    <w:rsid w:val="00E5770E"/>
    <w:rsid w:val="00E64E05"/>
    <w:rsid w:val="00E6598C"/>
    <w:rsid w:val="00EA0422"/>
    <w:rsid w:val="00ED1D42"/>
    <w:rsid w:val="00EE039A"/>
    <w:rsid w:val="00EE7DA5"/>
    <w:rsid w:val="00F052B7"/>
    <w:rsid w:val="00FC3ED5"/>
    <w:rsid w:val="00FE499A"/>
    <w:rsid w:val="00FE54A0"/>
    <w:rsid w:val="1D5C1835"/>
    <w:rsid w:val="31B353BB"/>
    <w:rsid w:val="50262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Times New Roman" w:hAnsi="Times New Roman" w:eastAsia="仿宋_GB2312" w:cstheme="minorBidi"/>
      <w:kern w:val="2"/>
      <w:sz w:val="28"/>
      <w:szCs w:val="22"/>
      <w:lang w:val="en-US" w:eastAsia="zh-CN" w:bidi="ar-SA"/>
    </w:rPr>
  </w:style>
  <w:style w:type="paragraph" w:styleId="3">
    <w:name w:val="heading 1"/>
    <w:basedOn w:val="1"/>
    <w:next w:val="1"/>
    <w:link w:val="15"/>
    <w:qFormat/>
    <w:uiPriority w:val="9"/>
    <w:pPr>
      <w:keepNext/>
      <w:keepLines/>
      <w:outlineLvl w:val="0"/>
    </w:pPr>
    <w:rPr>
      <w:b/>
      <w:bCs/>
      <w:kern w:val="44"/>
      <w:szCs w:val="44"/>
    </w:rPr>
  </w:style>
  <w:style w:type="paragraph" w:styleId="4">
    <w:name w:val="heading 2"/>
    <w:basedOn w:val="1"/>
    <w:next w:val="1"/>
    <w:link w:val="14"/>
    <w:unhideWhenUsed/>
    <w:qFormat/>
    <w:uiPriority w:val="9"/>
    <w:pPr>
      <w:keepNext/>
      <w:keepLines/>
      <w:outlineLvl w:val="1"/>
    </w:pPr>
    <w:rPr>
      <w:rFonts w:cstheme="majorBidi"/>
      <w:b/>
      <w:bCs/>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5">
    <w:name w:val="annotation text"/>
    <w:basedOn w:val="1"/>
    <w:link w:val="17"/>
    <w:qFormat/>
    <w:uiPriority w:val="99"/>
    <w:pPr>
      <w:spacing w:line="240" w:lineRule="auto"/>
      <w:ind w:firstLine="0" w:firstLineChars="0"/>
      <w:jc w:val="left"/>
    </w:pPr>
    <w:rPr>
      <w:rFonts w:ascii="Calibri" w:hAnsi="Calibri" w:eastAsia="宋体" w:cs="Times New Roman"/>
      <w:sz w:val="21"/>
    </w:rPr>
  </w:style>
  <w:style w:type="paragraph" w:styleId="6">
    <w:name w:val="Balloon Text"/>
    <w:basedOn w:val="1"/>
    <w:link w:val="20"/>
    <w:semiHidden/>
    <w:unhideWhenUsed/>
    <w:uiPriority w:val="99"/>
    <w:pPr>
      <w:spacing w:line="240" w:lineRule="auto"/>
    </w:pPr>
    <w:rPr>
      <w:sz w:val="18"/>
      <w:szCs w:val="18"/>
    </w:rPr>
  </w:style>
  <w:style w:type="paragraph" w:styleId="7">
    <w:name w:val="footer"/>
    <w:basedOn w:val="1"/>
    <w:link w:val="13"/>
    <w:unhideWhenUsed/>
    <w:uiPriority w:val="99"/>
    <w:pPr>
      <w:tabs>
        <w:tab w:val="center" w:pos="4153"/>
        <w:tab w:val="right" w:pos="8306"/>
      </w:tabs>
      <w:snapToGrid w:val="0"/>
      <w:jc w:val="left"/>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3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8"/>
    <w:uiPriority w:val="99"/>
    <w:rPr>
      <w:sz w:val="18"/>
      <w:szCs w:val="18"/>
    </w:rPr>
  </w:style>
  <w:style w:type="character" w:customStyle="1" w:styleId="13">
    <w:name w:val="页脚 字符"/>
    <w:basedOn w:val="11"/>
    <w:link w:val="7"/>
    <w:qFormat/>
    <w:uiPriority w:val="99"/>
    <w:rPr>
      <w:sz w:val="18"/>
      <w:szCs w:val="18"/>
    </w:rPr>
  </w:style>
  <w:style w:type="character" w:customStyle="1" w:styleId="14">
    <w:name w:val="标题 2 字符"/>
    <w:basedOn w:val="11"/>
    <w:link w:val="4"/>
    <w:uiPriority w:val="9"/>
    <w:rPr>
      <w:rFonts w:ascii="Times New Roman" w:hAnsi="Times New Roman" w:eastAsia="仿宋_GB2312" w:cstheme="majorBidi"/>
      <w:b/>
      <w:bCs/>
      <w:sz w:val="28"/>
      <w:szCs w:val="32"/>
    </w:rPr>
  </w:style>
  <w:style w:type="character" w:customStyle="1" w:styleId="15">
    <w:name w:val="标题 1 字符"/>
    <w:basedOn w:val="11"/>
    <w:link w:val="3"/>
    <w:uiPriority w:val="9"/>
    <w:rPr>
      <w:rFonts w:ascii="Times New Roman" w:hAnsi="Times New Roman" w:eastAsia="仿宋_GB2312"/>
      <w:b/>
      <w:bCs/>
      <w:kern w:val="44"/>
      <w:sz w:val="28"/>
      <w:szCs w:val="44"/>
    </w:rPr>
  </w:style>
  <w:style w:type="paragraph" w:customStyle="1" w:styleId="16">
    <w:name w:val="Pa4"/>
    <w:basedOn w:val="1"/>
    <w:next w:val="1"/>
    <w:qFormat/>
    <w:uiPriority w:val="99"/>
    <w:pPr>
      <w:autoSpaceDE w:val="0"/>
      <w:autoSpaceDN w:val="0"/>
      <w:adjustRightInd w:val="0"/>
      <w:spacing w:line="301" w:lineRule="atLeast"/>
      <w:ind w:firstLine="0" w:firstLineChars="0"/>
      <w:jc w:val="left"/>
    </w:pPr>
    <w:rPr>
      <w:rFonts w:ascii="OEEEEV+FZHTJW--GB1-0" w:hAnsi="Calibri" w:eastAsia="OEEEEV+FZHTJW--GB1-0" w:cs="Times New Roman"/>
      <w:kern w:val="0"/>
      <w:sz w:val="24"/>
      <w:szCs w:val="24"/>
    </w:rPr>
  </w:style>
  <w:style w:type="character" w:customStyle="1" w:styleId="17">
    <w:name w:val="批注文字 字符"/>
    <w:basedOn w:val="11"/>
    <w:link w:val="5"/>
    <w:qFormat/>
    <w:uiPriority w:val="99"/>
    <w:rPr>
      <w:rFonts w:ascii="Calibri" w:hAnsi="Calibri" w:eastAsia="宋体" w:cs="Times New Roman"/>
    </w:rPr>
  </w:style>
  <w:style w:type="paragraph" w:styleId="18">
    <w:name w:val="List Paragraph"/>
    <w:basedOn w:val="1"/>
    <w:qFormat/>
    <w:uiPriority w:val="34"/>
    <w:pPr>
      <w:ind w:firstLine="420"/>
    </w:pPr>
  </w:style>
  <w:style w:type="table" w:customStyle="1" w:styleId="19">
    <w:name w:val="网格型1"/>
    <w:basedOn w:val="9"/>
    <w:qFormat/>
    <w:uiPriority w:val="3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批注框文本 字符"/>
    <w:basedOn w:val="11"/>
    <w:link w:val="6"/>
    <w:semiHidden/>
    <w:uiPriority w:val="99"/>
    <w:rPr>
      <w:rFonts w:ascii="Times New Roman" w:hAnsi="Times New Roman" w:eastAsia="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emf"/><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2225</Words>
  <Characters>12684</Characters>
  <Lines>105</Lines>
  <Paragraphs>29</Paragraphs>
  <TotalTime>10</TotalTime>
  <ScaleCrop>false</ScaleCrop>
  <LinksUpToDate>false</LinksUpToDate>
  <CharactersWithSpaces>14880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2019-03-11T11:54:00Z</dcterms:created>
  <dc:creator>ASUS</dc:creator>
  <cp:lastModifiedBy>小鱼</cp:lastModifiedBy>
  <dcterms:modified xsi:type="dcterms:W3CDTF">2020-07-31T00:25:22Z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