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ascii="黑体" w:hAnsi="黑体" w:eastAsia="黑体"/>
          <w:b/>
          <w:sz w:val="36"/>
          <w:szCs w:val="36"/>
        </w:rPr>
      </w:pPr>
      <w:r>
        <w:rPr>
          <w:rFonts w:hint="eastAsia" w:ascii="黑体" w:hAnsi="黑体" w:eastAsia="黑体" w:cs="宋体"/>
          <w:b/>
          <w:sz w:val="36"/>
          <w:szCs w:val="36"/>
        </w:rPr>
        <w:t>20</w:t>
      </w:r>
      <w:r>
        <w:rPr>
          <w:rFonts w:hint="eastAsia" w:ascii="黑体" w:hAnsi="黑体" w:eastAsia="黑体" w:cs="宋体"/>
          <w:b/>
          <w:sz w:val="36"/>
          <w:szCs w:val="36"/>
          <w:lang w:val="en-US" w:eastAsia="zh-CN"/>
        </w:rPr>
        <w:t>20</w:t>
      </w:r>
      <w:r>
        <w:rPr>
          <w:rFonts w:hint="eastAsia" w:ascii="黑体" w:hAnsi="黑体" w:eastAsia="黑体" w:cs="宋体"/>
          <w:b/>
          <w:sz w:val="36"/>
          <w:szCs w:val="36"/>
        </w:rPr>
        <w:t>年</w:t>
      </w:r>
      <w:r>
        <w:rPr>
          <w:rFonts w:hint="eastAsia" w:ascii="黑体" w:hAnsi="黑体" w:eastAsia="黑体" w:cs="宋体"/>
          <w:b/>
          <w:sz w:val="36"/>
          <w:szCs w:val="36"/>
          <w:lang w:val="en-US" w:eastAsia="zh-CN"/>
        </w:rPr>
        <w:t>海南省</w:t>
      </w:r>
      <w:r>
        <w:rPr>
          <w:rFonts w:hint="eastAsia" w:ascii="黑体" w:hAnsi="黑体" w:eastAsia="黑体" w:cs="宋体"/>
          <w:b/>
          <w:sz w:val="36"/>
          <w:szCs w:val="36"/>
        </w:rPr>
        <w:t>职业院校技能大赛</w:t>
      </w:r>
    </w:p>
    <w:p>
      <w:pPr>
        <w:snapToGrid w:val="0"/>
        <w:spacing w:line="540" w:lineRule="exact"/>
        <w:jc w:val="center"/>
        <w:rPr>
          <w:rFonts w:ascii="黑体" w:hAnsi="黑体" w:eastAsia="黑体"/>
          <w:b/>
          <w:sz w:val="36"/>
          <w:szCs w:val="36"/>
        </w:rPr>
      </w:pPr>
      <w:r>
        <w:rPr>
          <w:rFonts w:hint="eastAsia" w:ascii="黑体" w:hAnsi="黑体" w:eastAsia="黑体" w:cs="宋体"/>
          <w:b/>
          <w:sz w:val="36"/>
          <w:szCs w:val="36"/>
        </w:rPr>
        <w:t>赛项规程</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一、赛项名称</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赛项编号：G</w:t>
      </w:r>
      <w:r>
        <w:rPr>
          <w:rFonts w:hint="eastAsia" w:ascii="仿宋_GB2312" w:hAnsi="仿宋_GB2312" w:eastAsia="仿宋_GB2312" w:cs="仿宋_GB2312"/>
          <w:sz w:val="28"/>
          <w:szCs w:val="28"/>
          <w:lang w:val="en-US" w:eastAsia="zh-CN"/>
        </w:rPr>
        <w:t>Z</w:t>
      </w:r>
      <w:r>
        <w:rPr>
          <w:rFonts w:hint="eastAsia" w:ascii="仿宋_GB2312" w:hAnsi="仿宋_GB2312" w:eastAsia="仿宋_GB2312" w:cs="仿宋_GB2312"/>
          <w:sz w:val="28"/>
          <w:szCs w:val="28"/>
        </w:rPr>
        <w:t>-20</w:t>
      </w:r>
      <w:r>
        <w:rPr>
          <w:rFonts w:hint="eastAsia" w:ascii="仿宋_GB2312" w:hAnsi="仿宋_GB2312" w:eastAsia="仿宋_GB2312" w:cs="仿宋_GB2312"/>
          <w:sz w:val="28"/>
          <w:szCs w:val="28"/>
          <w:lang w:val="en-US" w:eastAsia="zh-CN"/>
        </w:rPr>
        <w:t>200</w:t>
      </w:r>
      <w:r>
        <w:rPr>
          <w:rFonts w:hint="eastAsia" w:ascii="仿宋_GB2312" w:hAnsi="仿宋_GB2312" w:eastAsia="仿宋_GB2312" w:cs="仿宋_GB2312"/>
          <w:sz w:val="28"/>
          <w:szCs w:val="28"/>
        </w:rPr>
        <w:t>0</w:t>
      </w:r>
      <w:r>
        <w:rPr>
          <w:rFonts w:hint="eastAsia" w:ascii="仿宋_GB2312" w:hAnsi="仿宋_GB2312" w:eastAsia="仿宋_GB2312" w:cs="仿宋_GB2312"/>
          <w:sz w:val="28"/>
          <w:szCs w:val="28"/>
          <w:lang w:val="en-US" w:eastAsia="zh-CN"/>
        </w:rPr>
        <w:t>1</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赛项名称：园林景观设计</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英文名称</w:t>
      </w:r>
      <w:r>
        <w:rPr>
          <w:rFonts w:hint="eastAsia" w:ascii="仿宋_GB2312" w:hAnsi="仿宋_GB2312" w:eastAsia="仿宋_GB2312" w:cs="仿宋_GB2312"/>
          <w:sz w:val="28"/>
          <w:szCs w:val="28"/>
        </w:rPr>
        <w:t>：Landscape design and construction</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赛项组别：高职组</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赛项归属：农林牧渔大类</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二、竞赛目的</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结合高端技能型人才培养要求和园林景观设计岗位及园林施工岗位的需要，根据施工员、园林绿化工的工作职责要求设置本次技能大赛。</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竞赛目的主要有以下几点：</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（一）培养杰出的景观设计师，增强就业竞争力；</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（二）培养园林工程施工与管理技术人员；</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（三）将大赛园林景观设计过程和作品作为教学内容和案例向社会展示，以提高我</w:t>
      </w:r>
      <w:r>
        <w:rPr>
          <w:rFonts w:hint="eastAsia" w:ascii="仿宋_GB2312" w:hAnsi="仿宋_GB2312" w:eastAsia="仿宋_GB2312" w:cs="仿宋_GB2312"/>
          <w:sz w:val="28"/>
          <w:szCs w:val="28"/>
          <w:lang w:val="en-US" w:eastAsia="zh-CN"/>
        </w:rPr>
        <w:t>省</w:t>
      </w:r>
      <w:r>
        <w:rPr>
          <w:rFonts w:hint="eastAsia" w:ascii="仿宋_GB2312" w:hAnsi="仿宋_GB2312" w:eastAsia="仿宋_GB2312" w:cs="仿宋_GB2312"/>
          <w:sz w:val="28"/>
          <w:szCs w:val="28"/>
        </w:rPr>
        <w:t>园林景观设计教学水平；</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（四）荟萃行业精英，百家争鸣，促进</w:t>
      </w:r>
      <w:r>
        <w:rPr>
          <w:rFonts w:hint="eastAsia" w:ascii="仿宋_GB2312" w:hAnsi="仿宋_GB2312" w:eastAsia="仿宋_GB2312" w:cs="仿宋_GB2312"/>
          <w:sz w:val="28"/>
          <w:szCs w:val="28"/>
          <w:lang w:val="en-US" w:eastAsia="zh-CN"/>
        </w:rPr>
        <w:t>全省</w:t>
      </w:r>
      <w:r>
        <w:rPr>
          <w:rFonts w:hint="eastAsia" w:ascii="仿宋_GB2312" w:hAnsi="仿宋_GB2312" w:eastAsia="仿宋_GB2312" w:cs="仿宋_GB2312"/>
          <w:sz w:val="28"/>
          <w:szCs w:val="28"/>
        </w:rPr>
        <w:t>职院校之间相关专业的交流，共同提高景观设计与施工水平。</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三、竞赛内容</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（一）赛项涵盖知识点、技能点</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本赛项</w:t>
      </w:r>
      <w:r>
        <w:rPr>
          <w:rFonts w:hint="eastAsia" w:ascii="仿宋_GB2312" w:hAnsi="仿宋_GB2312" w:eastAsia="仿宋_GB2312" w:cs="仿宋_GB2312"/>
          <w:sz w:val="28"/>
          <w:szCs w:val="28"/>
          <w:lang w:val="en-US" w:eastAsia="zh-CN"/>
        </w:rPr>
        <w:t>为</w:t>
      </w:r>
      <w:r>
        <w:rPr>
          <w:rFonts w:hint="eastAsia" w:ascii="仿宋_GB2312" w:hAnsi="仿宋_GB2312" w:eastAsia="仿宋_GB2312" w:cs="仿宋_GB2312"/>
          <w:sz w:val="28"/>
          <w:szCs w:val="28"/>
        </w:rPr>
        <w:t>园林景观设计，考核内容涵盖园林规划设计、园林工程施工、软件操作等方面的知识和技能。要求考生了解园林行业最前沿的设计思想和理念，具备创新发展的思路和创造能力，掌握园林的各种要素以及各要素之间的配置方法，能熟练运用绘图软件进行设计和制图。</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（二）竞赛内容组成</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每支参赛队由</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名选手组成，2人</w:t>
      </w:r>
      <w:r>
        <w:rPr>
          <w:rFonts w:hint="eastAsia" w:ascii="仿宋_GB2312" w:hAnsi="仿宋_GB2312" w:eastAsia="仿宋_GB2312" w:cs="仿宋_GB2312"/>
          <w:sz w:val="28"/>
          <w:szCs w:val="28"/>
          <w:lang w:val="en-US" w:eastAsia="zh-CN"/>
        </w:rPr>
        <w:t>均</w:t>
      </w:r>
      <w:r>
        <w:rPr>
          <w:rFonts w:hint="eastAsia" w:ascii="仿宋_GB2312" w:hAnsi="仿宋_GB2312" w:eastAsia="仿宋_GB2312" w:cs="仿宋_GB2312"/>
          <w:sz w:val="28"/>
          <w:szCs w:val="28"/>
        </w:rPr>
        <w:t>为设计选手。</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设计选手根据比赛指定的环境，在4小时内，完成一套5m×6m的小花园景观设计方案，包括鸟瞰图一张、完整施工图一套。</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竞赛成绩</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00分。</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四、竞赛方式</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（一）报名资格</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1.参赛选手须为普通高等学校全日制在籍专科学生。五年制高职四、五年级学生。</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参赛选手为园林技术、园林工程技术、建筑工程技术、环境艺术设计等相关专业。</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2.选手年龄须不超过25周岁，年龄计算的截止时间以</w:t>
      </w:r>
      <w:r>
        <w:rPr>
          <w:rFonts w:hint="eastAsia" w:ascii="仿宋_GB2312" w:hAnsi="仿宋_GB2312" w:eastAsia="仿宋_GB2312" w:cs="仿宋_GB2312"/>
          <w:sz w:val="28"/>
          <w:szCs w:val="28"/>
          <w:lang w:val="en-US" w:eastAsia="zh-CN"/>
        </w:rPr>
        <w:t>2020年5月1日为准</w:t>
      </w:r>
      <w:r>
        <w:rPr>
          <w:rFonts w:hint="eastAsia" w:ascii="仿宋_GB2312" w:hAnsi="仿宋_GB2312" w:eastAsia="仿宋_GB2312" w:cs="仿宋_GB2312"/>
          <w:sz w:val="28"/>
          <w:szCs w:val="28"/>
        </w:rPr>
        <w:t>。</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.各地区的省内选拔、名额分配和参赛师生资格审查工作由省级教育行政部门负责。大赛执委会办公室行使对参赛人员资格进行抽查的权利。</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（二）组队要求</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1.省、自治区、直辖市可组织报名参赛，不邀请境外代表队参赛。</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2.比赛以团队方式进行，每个代表队限报</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组，每组参赛学生</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名，不得跨校组队，同一学校相同项目报名参赛队不超过</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组。其中2人为设计选手，竞赛选手上</w:t>
      </w:r>
      <w:r>
        <w:rPr>
          <w:rFonts w:hint="eastAsia" w:ascii="仿宋_GB2312" w:hAnsi="仿宋_GB2312" w:eastAsia="仿宋_GB2312" w:cs="仿宋_GB2312"/>
          <w:sz w:val="28"/>
          <w:szCs w:val="28"/>
          <w:lang w:val="en-US" w:eastAsia="zh-CN"/>
        </w:rPr>
        <w:t>PDF</w:t>
      </w:r>
      <w:r>
        <w:rPr>
          <w:rFonts w:hint="eastAsia" w:ascii="仿宋_GB2312" w:hAnsi="仿宋_GB2312" w:eastAsia="仿宋_GB2312" w:cs="仿宋_GB2312"/>
          <w:sz w:val="28"/>
          <w:szCs w:val="28"/>
        </w:rPr>
        <w:t>报后不得更换。</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3.每队限报</w:t>
      </w:r>
      <w:r>
        <w:rPr>
          <w:rFonts w:hint="eastAsia" w:ascii="仿宋_GB2312" w:hAnsi="仿宋_GB2312" w:eastAsia="仿宋_GB2312" w:cs="仿宋_GB2312"/>
          <w:sz w:val="28"/>
          <w:szCs w:val="28"/>
          <w:lang w:val="en-US" w:eastAsia="zh-CN"/>
        </w:rPr>
        <w:t>不超过2</w:t>
      </w:r>
      <w:r>
        <w:rPr>
          <w:rFonts w:hint="eastAsia" w:ascii="仿宋_GB2312" w:hAnsi="仿宋_GB2312" w:eastAsia="仿宋_GB2312" w:cs="仿宋_GB2312"/>
          <w:sz w:val="28"/>
          <w:szCs w:val="28"/>
        </w:rPr>
        <w:t>名指导教师。指导教师须为本校专兼职教师。</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五、竞赛流程</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所有参赛代表队在规定时间内同时进行比赛。</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设计竞赛时间：4小时。</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具体安排如表1。</w:t>
      </w: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4"/>
          <w:szCs w:val="24"/>
        </w:rPr>
        <w:t>表1  园林景观设计竞赛时间安排</w:t>
      </w:r>
    </w:p>
    <w:tbl>
      <w:tblPr>
        <w:tblStyle w:val="12"/>
        <w:tblW w:w="825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244"/>
        <w:gridCol w:w="600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8251" w:type="dxa"/>
            <w:gridSpan w:val="2"/>
            <w:noWrap w:val="0"/>
            <w:vAlign w:val="top"/>
          </w:tcPr>
          <w:p>
            <w:pPr>
              <w:widowControl/>
              <w:rPr>
                <w:rFonts w:ascii="仿宋_GB2312" w:hAnsi="宋体" w:eastAsia="仿宋_GB2312" w:cs="宋体"/>
                <w:b/>
                <w:kern w:val="0"/>
                <w:sz w:val="28"/>
                <w:szCs w:val="28"/>
              </w:rPr>
            </w:pPr>
            <w:r>
              <w:rPr>
                <w:rFonts w:hint="eastAsia" w:ascii="仿宋_GB2312" w:hAnsi="宋体" w:eastAsia="仿宋_GB2312" w:cs="宋体"/>
                <w:b/>
                <w:bCs/>
                <w:kern w:val="0"/>
                <w:sz w:val="28"/>
                <w:szCs w:val="28"/>
              </w:rPr>
              <w:t>时间安排</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noWrap w:val="0"/>
            <w:vAlign w:val="top"/>
          </w:tcPr>
          <w:p>
            <w:pPr>
              <w:widowControl/>
              <w:rPr>
                <w:rFonts w:ascii="仿宋_GB2312" w:hAnsi="宋体" w:eastAsia="仿宋_GB2312" w:cs="宋体"/>
                <w:bCs/>
                <w:kern w:val="0"/>
                <w:sz w:val="28"/>
                <w:szCs w:val="28"/>
              </w:rPr>
            </w:pPr>
            <w:r>
              <w:rPr>
                <w:rFonts w:hint="eastAsia" w:ascii="仿宋_GB2312" w:hAnsi="宋体" w:eastAsia="仿宋_GB2312" w:cs="宋体"/>
                <w:bCs/>
                <w:kern w:val="0"/>
                <w:sz w:val="28"/>
                <w:szCs w:val="28"/>
              </w:rPr>
              <w:t>7:30</w:t>
            </w:r>
          </w:p>
        </w:tc>
        <w:tc>
          <w:tcPr>
            <w:tcW w:w="6007" w:type="dxa"/>
            <w:noWrap w:val="0"/>
            <w:vAlign w:val="top"/>
          </w:tcPr>
          <w:p>
            <w:pPr>
              <w:widowControl/>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rPr>
              <w:t>选手抽签决定比赛工号与机位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noWrap w:val="0"/>
            <w:vAlign w:val="top"/>
          </w:tcPr>
          <w:p>
            <w:pPr>
              <w:widowControl/>
              <w:rPr>
                <w:rFonts w:ascii="仿宋_GB2312" w:hAnsi="宋体" w:eastAsia="仿宋_GB2312" w:cs="宋体"/>
                <w:bCs/>
                <w:kern w:val="0"/>
                <w:sz w:val="28"/>
                <w:szCs w:val="28"/>
              </w:rPr>
            </w:pPr>
            <w:r>
              <w:rPr>
                <w:rFonts w:hint="eastAsia" w:ascii="仿宋_GB2312" w:hAnsi="宋体" w:eastAsia="仿宋_GB2312" w:cs="宋体"/>
                <w:bCs/>
                <w:kern w:val="0"/>
                <w:sz w:val="28"/>
                <w:szCs w:val="28"/>
              </w:rPr>
              <w:t>7:45</w:t>
            </w:r>
          </w:p>
        </w:tc>
        <w:tc>
          <w:tcPr>
            <w:tcW w:w="6007" w:type="dxa"/>
            <w:noWrap w:val="0"/>
            <w:vAlign w:val="top"/>
          </w:tcPr>
          <w:p>
            <w:pPr>
              <w:widowControl/>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rPr>
              <w:t>选手进入技能比赛场并按事先抽签号就位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noWrap w:val="0"/>
            <w:vAlign w:val="top"/>
          </w:tcPr>
          <w:p>
            <w:pPr>
              <w:widowControl/>
              <w:rPr>
                <w:rFonts w:ascii="仿宋_GB2312" w:hAnsi="宋体" w:eastAsia="仿宋_GB2312" w:cs="宋体"/>
                <w:bCs/>
                <w:kern w:val="0"/>
                <w:sz w:val="28"/>
                <w:szCs w:val="28"/>
              </w:rPr>
            </w:pPr>
            <w:r>
              <w:rPr>
                <w:rFonts w:hint="eastAsia" w:ascii="仿宋_GB2312" w:hAnsi="宋体" w:eastAsia="仿宋_GB2312" w:cs="宋体"/>
                <w:bCs/>
                <w:kern w:val="0"/>
                <w:sz w:val="28"/>
                <w:szCs w:val="28"/>
              </w:rPr>
              <w:t>7:45</w:t>
            </w:r>
          </w:p>
        </w:tc>
        <w:tc>
          <w:tcPr>
            <w:tcW w:w="6007" w:type="dxa"/>
            <w:noWrap w:val="0"/>
            <w:vAlign w:val="top"/>
          </w:tcPr>
          <w:p>
            <w:pPr>
              <w:widowControl/>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rPr>
              <w:t>裁判组成员进入技能比赛场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noWrap w:val="0"/>
            <w:vAlign w:val="top"/>
          </w:tcPr>
          <w:p>
            <w:pPr>
              <w:widowControl/>
              <w:rPr>
                <w:rFonts w:ascii="仿宋_GB2312" w:hAnsi="宋体" w:eastAsia="仿宋_GB2312" w:cs="宋体"/>
                <w:bCs/>
                <w:kern w:val="0"/>
                <w:sz w:val="28"/>
                <w:szCs w:val="28"/>
              </w:rPr>
            </w:pPr>
            <w:r>
              <w:rPr>
                <w:rFonts w:hint="eastAsia" w:ascii="仿宋_GB2312" w:hAnsi="宋体" w:eastAsia="仿宋_GB2312" w:cs="宋体"/>
                <w:bCs/>
                <w:kern w:val="0"/>
                <w:sz w:val="28"/>
                <w:szCs w:val="28"/>
              </w:rPr>
              <w:t>8:00～</w:t>
            </w:r>
            <w:r>
              <w:rPr>
                <w:rFonts w:hint="eastAsia" w:ascii="仿宋_GB2312" w:hAnsi="宋体" w:eastAsia="仿宋_GB2312" w:cs="宋体"/>
                <w:bCs/>
                <w:kern w:val="0"/>
                <w:sz w:val="28"/>
                <w:szCs w:val="28"/>
                <w:lang w:val="en-US" w:eastAsia="zh-CN"/>
              </w:rPr>
              <w:t>12</w:t>
            </w:r>
            <w:r>
              <w:rPr>
                <w:rFonts w:hint="eastAsia" w:ascii="仿宋_GB2312" w:hAnsi="宋体" w:eastAsia="仿宋_GB2312" w:cs="宋体"/>
                <w:bCs/>
                <w:kern w:val="0"/>
                <w:sz w:val="28"/>
                <w:szCs w:val="28"/>
              </w:rPr>
              <w:t>:</w:t>
            </w:r>
            <w:r>
              <w:rPr>
                <w:rFonts w:hint="eastAsia" w:ascii="仿宋_GB2312" w:hAnsi="宋体" w:eastAsia="仿宋_GB2312" w:cs="宋体"/>
                <w:bCs/>
                <w:kern w:val="0"/>
                <w:sz w:val="28"/>
                <w:szCs w:val="28"/>
                <w:lang w:val="en-US" w:eastAsia="zh-CN"/>
              </w:rPr>
              <w:t>0</w:t>
            </w:r>
            <w:r>
              <w:rPr>
                <w:rFonts w:hint="eastAsia" w:ascii="仿宋_GB2312" w:hAnsi="宋体" w:eastAsia="仿宋_GB2312" w:cs="宋体"/>
                <w:bCs/>
                <w:kern w:val="0"/>
                <w:sz w:val="28"/>
                <w:szCs w:val="28"/>
              </w:rPr>
              <w:t>0</w:t>
            </w:r>
          </w:p>
        </w:tc>
        <w:tc>
          <w:tcPr>
            <w:tcW w:w="6007" w:type="dxa"/>
            <w:noWrap w:val="0"/>
            <w:vAlign w:val="top"/>
          </w:tcPr>
          <w:p>
            <w:pPr>
              <w:widowControl/>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rPr>
              <w:t>比赛时间。选手操作完成后，在《作品提交确认表》上签名确认，方可离开赛场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noWrap w:val="0"/>
            <w:vAlign w:val="top"/>
          </w:tcPr>
          <w:p>
            <w:pPr>
              <w:widowControl/>
              <w:rPr>
                <w:rFonts w:ascii="仿宋_GB2312" w:hAnsi="宋体" w:eastAsia="仿宋_GB2312" w:cs="宋体"/>
                <w:bCs/>
                <w:kern w:val="0"/>
                <w:sz w:val="28"/>
                <w:szCs w:val="28"/>
              </w:rPr>
            </w:pPr>
            <w:r>
              <w:rPr>
                <w:rFonts w:hint="eastAsia" w:ascii="仿宋_GB2312" w:hAnsi="宋体" w:eastAsia="仿宋_GB2312" w:cs="宋体"/>
                <w:bCs/>
                <w:kern w:val="0"/>
                <w:sz w:val="28"/>
                <w:szCs w:val="28"/>
              </w:rPr>
              <w:t>12:</w:t>
            </w:r>
            <w:r>
              <w:rPr>
                <w:rFonts w:hint="eastAsia" w:ascii="仿宋_GB2312" w:hAnsi="宋体" w:eastAsia="仿宋_GB2312" w:cs="宋体"/>
                <w:bCs/>
                <w:kern w:val="0"/>
                <w:sz w:val="28"/>
                <w:szCs w:val="28"/>
                <w:lang w:val="en-US" w:eastAsia="zh-CN"/>
              </w:rPr>
              <w:t>3</w:t>
            </w:r>
            <w:r>
              <w:rPr>
                <w:rFonts w:hint="eastAsia" w:ascii="仿宋_GB2312" w:hAnsi="宋体" w:eastAsia="仿宋_GB2312" w:cs="宋体"/>
                <w:bCs/>
                <w:kern w:val="0"/>
                <w:sz w:val="28"/>
                <w:szCs w:val="28"/>
              </w:rPr>
              <w:t>0～14:</w:t>
            </w:r>
            <w:r>
              <w:rPr>
                <w:rFonts w:hint="eastAsia" w:ascii="仿宋_GB2312" w:hAnsi="宋体" w:eastAsia="仿宋_GB2312" w:cs="宋体"/>
                <w:bCs/>
                <w:kern w:val="0"/>
                <w:sz w:val="28"/>
                <w:szCs w:val="28"/>
                <w:lang w:val="en-US" w:eastAsia="zh-CN"/>
              </w:rPr>
              <w:t>3</w:t>
            </w:r>
            <w:r>
              <w:rPr>
                <w:rFonts w:hint="eastAsia" w:ascii="仿宋_GB2312" w:hAnsi="宋体" w:eastAsia="仿宋_GB2312" w:cs="宋体"/>
                <w:bCs/>
                <w:kern w:val="0"/>
                <w:sz w:val="28"/>
                <w:szCs w:val="28"/>
              </w:rPr>
              <w:t>0</w:t>
            </w:r>
          </w:p>
        </w:tc>
        <w:tc>
          <w:tcPr>
            <w:tcW w:w="6007" w:type="dxa"/>
            <w:noWrap w:val="0"/>
            <w:vAlign w:val="top"/>
          </w:tcPr>
          <w:p>
            <w:pPr>
              <w:widowControl/>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rPr>
              <w:t>裁判评分汇总</w:t>
            </w:r>
          </w:p>
        </w:tc>
      </w:tr>
    </w:tbl>
    <w:p>
      <w:pPr>
        <w:pStyle w:val="2"/>
        <w:keepNext/>
        <w:keepLines/>
        <w:pageBreakBefore w:val="0"/>
        <w:widowControl w:val="0"/>
        <w:kinsoku/>
        <w:wordWrap/>
        <w:overflowPunct/>
        <w:topLinePunct w:val="0"/>
        <w:autoSpaceDE/>
        <w:autoSpaceDN/>
        <w:bidi w:val="0"/>
        <w:adjustRightInd/>
        <w:snapToGrid/>
        <w:spacing w:line="560" w:lineRule="exact"/>
        <w:ind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六、竞赛赛卷</w:t>
      </w:r>
    </w:p>
    <w:p>
      <w:pPr>
        <w:pageBreakBefore w:val="0"/>
        <w:kinsoku/>
        <w:wordWrap w:val="0"/>
        <w:overflowPunct/>
        <w:topLinePunct/>
        <w:autoSpaceDE/>
        <w:autoSpaceDN/>
        <w:bidi w:val="0"/>
        <w:snapToGrid w:val="0"/>
        <w:spacing w:line="560" w:lineRule="exact"/>
        <w:ind w:left="0" w:leftChars="0" w:right="0" w:rightChars="0" w:firstLine="560" w:firstLineChars="2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素材参照全国</w:t>
      </w:r>
      <w:r>
        <w:rPr>
          <w:rFonts w:hint="eastAsia" w:ascii="仿宋_GB2312" w:hAnsi="仿宋_GB2312" w:eastAsia="仿宋_GB2312" w:cs="仿宋_GB2312"/>
          <w:sz w:val="28"/>
          <w:szCs w:val="28"/>
        </w:rPr>
        <w:t>（www.chinaskills-jsw.org）公开</w:t>
      </w:r>
      <w:r>
        <w:rPr>
          <w:rFonts w:hint="eastAsia" w:ascii="仿宋_GB2312" w:hAnsi="仿宋_GB2312" w:eastAsia="仿宋_GB2312" w:cs="仿宋_GB2312"/>
          <w:sz w:val="28"/>
          <w:szCs w:val="28"/>
          <w:lang w:val="en-US" w:eastAsia="zh-CN"/>
        </w:rPr>
        <w:t>的</w:t>
      </w:r>
      <w:r>
        <w:rPr>
          <w:rFonts w:hint="eastAsia" w:ascii="仿宋_GB2312" w:hAnsi="仿宋_GB2312" w:eastAsia="仿宋_GB2312" w:cs="仿宋_GB2312"/>
          <w:color w:val="000000" w:themeColor="text1"/>
          <w:sz w:val="28"/>
          <w:szCs w:val="28"/>
          <w14:textFill>
            <w14:solidFill>
              <w14:schemeClr w14:val="tx1"/>
            </w14:solidFill>
          </w14:textFill>
        </w:rPr>
        <w:t>素材</w:t>
      </w:r>
      <w:r>
        <w:rPr>
          <w:rFonts w:hint="eastAsia" w:ascii="仿宋_GB2312" w:hAnsi="仿宋_GB2312" w:eastAsia="仿宋_GB2312" w:cs="仿宋_GB2312"/>
          <w:sz w:val="28"/>
          <w:szCs w:val="28"/>
        </w:rPr>
        <w:t>。</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（一）试题名称</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小花园景观设计</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（二）竞赛内容介绍</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次竞赛内容是5m×6m的小花园景观设计，赛卷中提供木平台方案及位置，选手按照提供的材料和设计指标要求，在此基础上对小花园场地进行设计，绘制场地设计鸟瞰图和完整的施工图一套。组建试题库。试题库不少于</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套试题，正式比赛时由裁判随机抽取其中1套作为竞赛试题。样题如图1所示。</w:t>
      </w:r>
    </w:p>
    <w:p>
      <w:pPr>
        <w:pageBreakBefore w:val="0"/>
        <w:widowControl/>
        <w:kinsoku/>
        <w:overflowPunct/>
        <w:autoSpaceDE/>
        <w:autoSpaceDN/>
        <w:bidi w:val="0"/>
        <w:spacing w:line="560" w:lineRule="exact"/>
        <w:ind w:left="0" w:leftChars="0" w:right="0" w:rightChars="0"/>
        <w:jc w:val="lef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drawing>
          <wp:anchor distT="0" distB="0" distL="0" distR="0" simplePos="0" relativeHeight="251725824" behindDoc="0" locked="0" layoutInCell="1" allowOverlap="1">
            <wp:simplePos x="0" y="0"/>
            <wp:positionH relativeFrom="column">
              <wp:posOffset>28575</wp:posOffset>
            </wp:positionH>
            <wp:positionV relativeFrom="paragraph">
              <wp:posOffset>203835</wp:posOffset>
            </wp:positionV>
            <wp:extent cx="5237480" cy="4853940"/>
            <wp:effectExtent l="9525" t="0" r="10795" b="13335"/>
            <wp:wrapNone/>
            <wp:docPr id="1" name="图片 6" descr="C:\Users\John\Desktop\试题4.jpg试题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Users\John\Desktop\试题4.jpg试题4"/>
                    <pic:cNvPicPr>
                      <a:picLocks noChangeAspect="1"/>
                    </pic:cNvPicPr>
                  </pic:nvPicPr>
                  <pic:blipFill>
                    <a:blip r:embed="rId5"/>
                    <a:srcRect b="1735"/>
                    <a:stretch>
                      <a:fillRect/>
                    </a:stretch>
                  </pic:blipFill>
                  <pic:spPr>
                    <a:xfrm>
                      <a:off x="0" y="0"/>
                      <a:ext cx="5237480" cy="4853940"/>
                    </a:xfrm>
                    <a:prstGeom prst="rect">
                      <a:avLst/>
                    </a:prstGeom>
                    <a:noFill/>
                    <a:ln w="9525">
                      <a:solidFill>
                        <a:schemeClr val="tx1">
                          <a:alpha val="0"/>
                        </a:schemeClr>
                      </a:solidFill>
                    </a:ln>
                  </pic:spPr>
                </pic:pic>
              </a:graphicData>
            </a:graphic>
          </wp:anchor>
        </w:drawing>
      </w: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both"/>
        <w:textAlignment w:val="auto"/>
        <w:rPr>
          <w:rFonts w:hint="eastAsia" w:ascii="仿宋_GB2312" w:hAnsi="仿宋_GB2312" w:eastAsia="仿宋_GB2312" w:cs="仿宋_GB2312"/>
          <w:b/>
          <w:sz w:val="28"/>
          <w:szCs w:val="28"/>
        </w:rPr>
      </w:pPr>
    </w:p>
    <w:p>
      <w:pPr>
        <w:pageBreakBefore w:val="0"/>
        <w:kinsoku/>
        <w:overflowPunct/>
        <w:autoSpaceDE/>
        <w:autoSpaceDN/>
        <w:bidi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图1  计用地范围图</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（三）赛项要求</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1.设计要求</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设计一个出入口，设计方案根据提供的材料清单，合理运用地形、水体、植物、景观小品等景观设计要素，布局合理，交通清晰流畅，构思新颖，能充分反映时代特点，具有独创性、经济性和可行性。注意乔、灌、草的合理配置。设计需满足以人为本的基本理念，符合人体工程学要求。图面表达清晰美观并符合园林制图规范，设计应符合国家现行相关法律法规。</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施工图深度必须达到施工要求，至少包括总平面图、平面（网格）定位放线图、竖向设计图、种植设计图、景观小品结构详图等。设计选手必须将施工图中所有的定位尺寸、标高、材料等标注完整并确定无误</w:t>
      </w:r>
      <w:r>
        <w:rPr>
          <w:rFonts w:hint="eastAsia" w:ascii="仿宋_GB2312" w:hAnsi="仿宋_GB2312" w:eastAsia="仿宋_GB2312" w:cs="仿宋_GB2312"/>
          <w:sz w:val="28"/>
          <w:szCs w:val="28"/>
          <w:lang w:eastAsia="zh-CN"/>
        </w:rPr>
        <w:t>。</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设计指标要求如下：</w:t>
      </w:r>
    </w:p>
    <w:p>
      <w:pPr>
        <w:pageBreakBefore w:val="0"/>
        <w:numPr>
          <w:ilvl w:val="0"/>
          <w:numId w:val="1"/>
        </w:numPr>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铺装面积不大于总面积的20%；</w:t>
      </w:r>
    </w:p>
    <w:p>
      <w:pPr>
        <w:pageBreakBefore w:val="0"/>
        <w:numPr>
          <w:ilvl w:val="0"/>
          <w:numId w:val="1"/>
        </w:numPr>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水体面积不大于总面积的18%；</w:t>
      </w:r>
    </w:p>
    <w:p>
      <w:pPr>
        <w:pageBreakBefore w:val="0"/>
        <w:numPr>
          <w:ilvl w:val="0"/>
          <w:numId w:val="1"/>
        </w:numPr>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建筑或小品（景墙或花坛等）占地面积不大于总面积的4%；</w:t>
      </w:r>
    </w:p>
    <w:p>
      <w:pPr>
        <w:pageBreakBefore w:val="0"/>
        <w:numPr>
          <w:ilvl w:val="0"/>
          <w:numId w:val="1"/>
        </w:numPr>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植物的种类不少于7种。</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（四）设计图纸内容</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在规定时间内选用提供的AutoCAD2012中文版、Adobe Photoshop CS6中文版、3Dmax2010中文版或SketchUp8中文版，以及Office2007等计算机应用软件，根据比赛指定设计环境，自主命题，完成园林景观设计方案，绘制景观设计图与施工设计图。内容至少包括：</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1.设计方案部分</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（1）鸟瞰图1张；</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（2）设计说明（不超过300字）。</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2.施工图设计部分</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（1）总平面图1张；</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（2）尺寸定位图1张、竖向标高设计图1张、种植设计图（包括苗木统计表）1张；</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（3）地面铺装做法结构详图；</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（4）木作（木平台或木椅或木桥或木栏杆）结构详图；</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（5）景墙、花坛结构详图；</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（6）水、电布置平面图1张；</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（7）封面、目录、设计说明等；</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选手可以根据需要增加图纸张数。</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3.作品提交要求</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选手将设计成果（鸟瞰图与设计说明）保存为一个JPG文件（A3图幅，模式RGB颜色，分辨率</w:t>
      </w:r>
      <w:r>
        <w:rPr>
          <w:rFonts w:hint="eastAsia" w:ascii="仿宋_GB2312" w:hAnsi="仿宋_GB2312" w:eastAsia="仿宋_GB2312" w:cs="仿宋_GB2312"/>
          <w:sz w:val="28"/>
          <w:szCs w:val="28"/>
          <w:lang w:val="en-US" w:eastAsia="zh-CN"/>
        </w:rPr>
        <w:t>至少200</w:t>
      </w:r>
      <w:r>
        <w:rPr>
          <w:rFonts w:hint="eastAsia" w:ascii="仿宋_GB2312" w:hAnsi="仿宋_GB2312" w:eastAsia="仿宋_GB2312" w:cs="仿宋_GB2312"/>
          <w:sz w:val="28"/>
          <w:szCs w:val="28"/>
        </w:rPr>
        <w:t>PPI），鸟瞰图与设计说明合理分布于A3图幅中。文件命名为“设计.jpg”；</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施工图设计图纸选用A3图幅，图框自行设计，自定比例和图纸数量，选手设计完成后用布局排版，所有图纸排在一个布局里，按照图号顺序从左向右依次排列（如图5所示），施工设计图纸保存为.dwg格式，命名为“施工设计图布局排版.dwg”（如图4所示）,然后将每张图纸输出为</w:t>
      </w:r>
      <w:r>
        <w:rPr>
          <w:rFonts w:hint="eastAsia" w:ascii="仿宋_GB2312" w:hAnsi="仿宋_GB2312" w:eastAsia="仿宋_GB2312" w:cs="仿宋_GB2312"/>
          <w:sz w:val="28"/>
          <w:szCs w:val="28"/>
          <w:lang w:val="en-US" w:eastAsia="zh-CN"/>
        </w:rPr>
        <w:t>PDF</w:t>
      </w:r>
      <w:r>
        <w:rPr>
          <w:rFonts w:hint="eastAsia" w:ascii="仿宋_GB2312" w:hAnsi="仿宋_GB2312" w:eastAsia="仿宋_GB2312" w:cs="仿宋_GB2312"/>
          <w:sz w:val="28"/>
          <w:szCs w:val="28"/>
        </w:rPr>
        <w:t>格式，输出后每张图的命名为对应的图名（如“施工总平面图.</w:t>
      </w:r>
      <w:r>
        <w:rPr>
          <w:rFonts w:hint="eastAsia" w:ascii="仿宋_GB2312" w:hAnsi="仿宋_GB2312" w:eastAsia="仿宋_GB2312" w:cs="仿宋_GB2312"/>
          <w:sz w:val="28"/>
          <w:szCs w:val="28"/>
          <w:lang w:val="en-US" w:eastAsia="zh-CN"/>
        </w:rPr>
        <w:t>pdf</w:t>
      </w:r>
      <w:r>
        <w:rPr>
          <w:rFonts w:hint="eastAsia" w:ascii="仿宋_GB2312" w:hAnsi="仿宋_GB2312" w:eastAsia="仿宋_GB2312" w:cs="仿宋_GB2312"/>
          <w:sz w:val="28"/>
          <w:szCs w:val="28"/>
        </w:rPr>
        <w:t>”）（如图4所示）。</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将方案设计图（即“设计.jpg”）、施工设计图（包括输出前的.dwg格式的图纸和输出后的.</w:t>
      </w:r>
      <w:r>
        <w:rPr>
          <w:rFonts w:hint="eastAsia" w:ascii="仿宋_GB2312" w:hAnsi="仿宋_GB2312" w:eastAsia="仿宋_GB2312" w:cs="仿宋_GB2312"/>
          <w:sz w:val="28"/>
          <w:szCs w:val="28"/>
          <w:lang w:val="en-US" w:eastAsia="zh-CN"/>
        </w:rPr>
        <w:t>pdf</w:t>
      </w:r>
      <w:r>
        <w:rPr>
          <w:rFonts w:hint="eastAsia" w:ascii="仿宋_GB2312" w:hAnsi="仿宋_GB2312" w:eastAsia="仿宋_GB2312" w:cs="仿宋_GB2312"/>
          <w:sz w:val="28"/>
          <w:szCs w:val="28"/>
        </w:rPr>
        <w:t>格式的）压缩成一个电子文件，文件命名为“工位号.zip”（如“A01.zip”）。竞赛结束时将最终作品存储到指定地址。作品不得出现任何反映作者、指导老师及学校的相关信息，违者将取消比赛资格。</w:t>
      </w:r>
    </w:p>
    <w:p>
      <w:pPr>
        <w:pageBreakBefore w:val="0"/>
        <w:kinsoku/>
        <w:overflowPunct/>
        <w:autoSpaceDE/>
        <w:autoSpaceDN/>
        <w:bidi w:val="0"/>
        <w:adjustRightInd w:val="0"/>
        <w:snapToGrid w:val="0"/>
        <w:spacing w:line="560" w:lineRule="exact"/>
        <w:ind w:left="0" w:leftChars="0" w:right="0" w:rightChars="0" w:firstLine="57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保存后的作品展开顺序如下图2-图6所示。</w:t>
      </w:r>
    </w:p>
    <w:p>
      <w:pPr>
        <w:pageBreakBefore w:val="0"/>
        <w:kinsoku/>
        <w:overflowPunct/>
        <w:autoSpaceDE/>
        <w:autoSpaceDN/>
        <w:bidi w:val="0"/>
        <w:adjustRightInd w:val="0"/>
        <w:snapToGrid w:val="0"/>
        <w:spacing w:line="560" w:lineRule="exact"/>
        <w:ind w:left="0" w:leftChars="0" w:right="0" w:rightChars="0" w:firstLine="570"/>
        <w:textAlignment w:val="auto"/>
        <w:rPr>
          <w:rFonts w:hint="eastAsia" w:ascii="仿宋_GB2312" w:hAnsi="仿宋_GB2312" w:eastAsia="仿宋_GB2312" w:cs="仿宋_GB2312"/>
          <w:sz w:val="28"/>
          <w:szCs w:val="28"/>
        </w:rPr>
      </w:pPr>
    </w:p>
    <w:p>
      <w:pPr>
        <w:pageBreakBefore w:val="0"/>
        <w:kinsoku/>
        <w:overflowPunct/>
        <w:autoSpaceDE/>
        <w:autoSpaceDN/>
        <w:bidi w:val="0"/>
        <w:adjustRightInd w:val="0"/>
        <w:snapToGrid w:val="0"/>
        <w:spacing w:line="560" w:lineRule="exact"/>
        <w:ind w:left="0" w:leftChars="0" w:right="0" w:rightChars="0" w:firstLine="570"/>
        <w:textAlignment w:val="auto"/>
        <w:rPr>
          <w:rFonts w:hint="eastAsia" w:ascii="仿宋_GB2312" w:hAnsi="仿宋_GB2312" w:eastAsia="仿宋_GB2312" w:cs="仿宋_GB2312"/>
          <w:sz w:val="28"/>
          <w:szCs w:val="28"/>
        </w:rPr>
      </w:pPr>
    </w:p>
    <w:p>
      <w:pPr>
        <w:pageBreakBefore w:val="0"/>
        <w:kinsoku/>
        <w:overflowPunct/>
        <w:autoSpaceDE/>
        <w:autoSpaceDN/>
        <w:bidi w:val="0"/>
        <w:adjustRightInd w:val="0"/>
        <w:snapToGrid w:val="0"/>
        <w:spacing w:line="560" w:lineRule="exact"/>
        <w:ind w:left="0" w:leftChars="0" w:right="0" w:rightChars="0" w:firstLine="570"/>
        <w:textAlignment w:val="auto"/>
        <w:rPr>
          <w:rFonts w:hint="eastAsia" w:ascii="仿宋_GB2312" w:hAnsi="仿宋_GB2312" w:eastAsia="仿宋_GB2312" w:cs="仿宋_GB2312"/>
          <w:sz w:val="28"/>
          <w:szCs w:val="28"/>
        </w:rPr>
      </w:pPr>
    </w:p>
    <w:p>
      <w:pPr>
        <w:pageBreakBefore w:val="0"/>
        <w:kinsoku/>
        <w:overflowPunct/>
        <w:autoSpaceDE/>
        <w:autoSpaceDN/>
        <w:bidi w:val="0"/>
        <w:adjustRightInd w:val="0"/>
        <w:snapToGrid w:val="0"/>
        <w:spacing w:line="560" w:lineRule="exact"/>
        <w:ind w:left="0" w:leftChars="0" w:right="0" w:rightChars="0" w:firstLine="570"/>
        <w:textAlignment w:val="auto"/>
        <w:rPr>
          <w:rFonts w:hint="eastAsia" w:ascii="仿宋_GB2312" w:hAnsi="仿宋_GB2312" w:eastAsia="仿宋_GB2312" w:cs="仿宋_GB2312"/>
          <w:sz w:val="28"/>
          <w:szCs w:val="28"/>
        </w:rPr>
      </w:pPr>
    </w:p>
    <w:p>
      <w:pPr>
        <w:pageBreakBefore w:val="0"/>
        <w:kinsoku/>
        <w:overflowPunct/>
        <w:autoSpaceDE/>
        <w:autoSpaceDN/>
        <w:bidi w:val="0"/>
        <w:adjustRightInd w:val="0"/>
        <w:snapToGrid w:val="0"/>
        <w:spacing w:line="560" w:lineRule="exact"/>
        <w:ind w:left="0" w:leftChars="0" w:right="0" w:right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drawing>
          <wp:inline distT="0" distB="0" distL="0" distR="0">
            <wp:extent cx="1588135" cy="926465"/>
            <wp:effectExtent l="0" t="0" r="1206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588135" cy="926465"/>
                    </a:xfrm>
                    <a:prstGeom prst="rect">
                      <a:avLst/>
                    </a:prstGeom>
                    <a:noFill/>
                    <a:ln>
                      <a:noFill/>
                    </a:ln>
                  </pic:spPr>
                </pic:pic>
              </a:graphicData>
            </a:graphic>
          </wp:inline>
        </w:drawing>
      </w:r>
    </w:p>
    <w:p>
      <w:pPr>
        <w:pageBreakBefore w:val="0"/>
        <w:kinsoku/>
        <w:overflowPunct/>
        <w:autoSpaceDE/>
        <w:autoSpaceDN/>
        <w:bidi w:val="0"/>
        <w:adjustRightInd w:val="0"/>
        <w:snapToGrid w:val="0"/>
        <w:spacing w:line="560" w:lineRule="exact"/>
        <w:ind w:left="0" w:leftChars="0" w:right="0" w:rightChars="0"/>
        <w:textAlignment w:val="auto"/>
        <w:rPr>
          <w:rFonts w:hint="eastAsia" w:ascii="仿宋_GB2312" w:hAnsi="仿宋_GB2312" w:eastAsia="仿宋_GB2312" w:cs="仿宋_GB2312"/>
          <w:sz w:val="28"/>
          <w:szCs w:val="28"/>
        </w:rPr>
      </w:pPr>
    </w:p>
    <w:p>
      <w:pPr>
        <w:pageBreakBefore w:val="0"/>
        <w:kinsoku/>
        <w:overflowPunct/>
        <w:autoSpaceDE/>
        <w:autoSpaceDN/>
        <w:bidi w:val="0"/>
        <w:adjustRightInd w:val="0"/>
        <w:snapToGrid w:val="0"/>
        <w:spacing w:line="560" w:lineRule="exact"/>
        <w:ind w:left="0" w:leftChars="0" w:right="0" w:right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drawing>
          <wp:anchor distT="0" distB="0" distL="114300" distR="114300" simplePos="0" relativeHeight="251726848" behindDoc="0" locked="0" layoutInCell="1" allowOverlap="1">
            <wp:simplePos x="0" y="0"/>
            <wp:positionH relativeFrom="column">
              <wp:posOffset>114300</wp:posOffset>
            </wp:positionH>
            <wp:positionV relativeFrom="paragraph">
              <wp:posOffset>-21590</wp:posOffset>
            </wp:positionV>
            <wp:extent cx="4041140" cy="3265170"/>
            <wp:effectExtent l="0" t="0" r="16510" b="11430"/>
            <wp:wrapNone/>
            <wp:docPr id="3" name="图片 3" descr="QQ截图20190322170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截图20190322170548"/>
                    <pic:cNvPicPr>
                      <a:picLocks noChangeAspect="1"/>
                    </pic:cNvPicPr>
                  </pic:nvPicPr>
                  <pic:blipFill>
                    <a:blip r:embed="rId7"/>
                    <a:stretch>
                      <a:fillRect/>
                    </a:stretch>
                  </pic:blipFill>
                  <pic:spPr>
                    <a:xfrm>
                      <a:off x="0" y="0"/>
                      <a:ext cx="4041140" cy="3265170"/>
                    </a:xfrm>
                    <a:prstGeom prst="rect">
                      <a:avLst/>
                    </a:prstGeom>
                  </pic:spPr>
                </pic:pic>
              </a:graphicData>
            </a:graphic>
          </wp:anchor>
        </w:drawing>
      </w:r>
    </w:p>
    <w:p>
      <w:pPr>
        <w:pageBreakBefore w:val="0"/>
        <w:kinsoku/>
        <w:overflowPunct/>
        <w:autoSpaceDE/>
        <w:autoSpaceDN/>
        <w:bidi w:val="0"/>
        <w:adjustRightInd w:val="0"/>
        <w:snapToGrid w:val="0"/>
        <w:spacing w:line="560" w:lineRule="exact"/>
        <w:ind w:left="0" w:leftChars="0" w:right="0" w:rightChars="0"/>
        <w:jc w:val="left"/>
        <w:textAlignment w:val="auto"/>
        <w:rPr>
          <w:rFonts w:hint="eastAsia" w:ascii="仿宋_GB2312" w:hAnsi="仿宋_GB2312" w:eastAsia="仿宋_GB2312" w:cs="仿宋_GB2312"/>
          <w:sz w:val="28"/>
          <w:szCs w:val="28"/>
          <w:lang w:eastAsia="zh-CN"/>
        </w:rPr>
      </w:pPr>
    </w:p>
    <w:p>
      <w:pPr>
        <w:pageBreakBefore w:val="0"/>
        <w:kinsoku/>
        <w:overflowPunct/>
        <w:autoSpaceDE/>
        <w:autoSpaceDN/>
        <w:bidi w:val="0"/>
        <w:snapToGrid w:val="0"/>
        <w:spacing w:line="560" w:lineRule="exact"/>
        <w:ind w:right="0" w:rightChars="0"/>
        <w:textAlignment w:val="auto"/>
        <w:rPr>
          <w:rFonts w:hint="eastAsia" w:ascii="仿宋_GB2312" w:hAnsi="仿宋_GB2312" w:eastAsia="仿宋_GB2312" w:cs="仿宋_GB2312"/>
          <w:b/>
          <w:bCs/>
          <w:sz w:val="28"/>
          <w:szCs w:val="28"/>
        </w:rPr>
      </w:pP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lang w:val="en-US" w:eastAsia="zh-CN"/>
        </w:rPr>
      </w:pP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lang w:val="en-US" w:eastAsia="zh-CN"/>
        </w:rPr>
      </w:pP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lang w:val="en-US" w:eastAsia="zh-CN"/>
        </w:rPr>
      </w:pP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lang w:val="en-US" w:eastAsia="zh-CN"/>
        </w:rPr>
      </w:pP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lang w:val="en-US" w:eastAsia="zh-CN"/>
        </w:rPr>
      </w:pP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lang w:val="en-US" w:eastAsia="zh-CN"/>
        </w:rPr>
      </w:pPr>
    </w:p>
    <w:p>
      <w:pPr>
        <w:pageBreakBefore w:val="0"/>
        <w:kinsoku/>
        <w:overflowPunct/>
        <w:autoSpaceDE/>
        <w:autoSpaceDN/>
        <w:bidi w:val="0"/>
        <w:snapToGrid w:val="0"/>
        <w:spacing w:line="560" w:lineRule="exact"/>
        <w:ind w:left="0" w:leftChars="0" w:right="0" w:rightChars="0"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注：如果图纸没有使用布局排版，也必须在CAD模型空间排版，不影响分值。</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（五）设计图中的图例由组委会统一提供。</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七、竞赛规则</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 参赛选手必须持本人身份证与参赛证参加比赛。</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sz w:val="28"/>
          <w:szCs w:val="28"/>
        </w:rPr>
        <w:t>2. 参赛选手和指导教师报名获得确认后不得随意更换。如比赛前参赛选手和指导教师因故无法参赛，须由省级教育行政部门于本赛项开赛10个工作日之前出具书面说明，经大赛执委会办公室核实后予以更换。竞赛开始后，参赛队不得更换参赛队员，</w:t>
      </w:r>
      <w:r>
        <w:rPr>
          <w:rFonts w:hint="eastAsia" w:ascii="仿宋_GB2312" w:hAnsi="仿宋_GB2312" w:eastAsia="仿宋_GB2312" w:cs="仿宋_GB2312"/>
          <w:color w:val="000000" w:themeColor="text1"/>
          <w:sz w:val="28"/>
          <w:szCs w:val="28"/>
          <w14:textFill>
            <w14:solidFill>
              <w14:schemeClr w14:val="tx1"/>
            </w14:solidFill>
          </w14:textFill>
        </w:rPr>
        <w:t>允许队员缺席比赛。</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3.参赛选手出场顺序、位置、比赛所用工具等均由抽签决定，不得擅自变更、调整。</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 参赛选手提前15分钟检录进入赛场，并按照指定位号参加比赛。迟到15分钟者，取消比赛资格；比赛开始15分钟后，选手方可离开赛场。</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5.选手进入赛场后须检查比赛工具、设备和材料是否齐全，如有疑问向裁判询问。</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6.选手在竞赛过程中不得擅自离开赛场，如有特殊情况，需经裁判同意，选手若需休息、饮水或去洗手间等，耗用时间计算在比赛时间内。</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参赛选手的作品不得出现任何反映作者、指导老师及学校的相关信息，违者将取消比赛资格。设计图图面表达清晰美观并符合园林制图规范，设计应符合国家现行相关法律法规。施工符合园林绿化工程施工及验收规范，符合国家现行相关法律法规。</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 比赛在规定时间结束时，参赛选手应立即停止操作，不得以任何理由拖延比赛时间。选手操作完成后，在《实际操作现场记录表》上签名确认，方可离开赛场。</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八、竞赛环境</w:t>
      </w:r>
    </w:p>
    <w:p>
      <w:pPr>
        <w:pageBreakBefore w:val="0"/>
        <w:kinsoku/>
        <w:overflowPunct/>
        <w:autoSpaceDE/>
        <w:autoSpaceDN/>
        <w:bidi w:val="0"/>
        <w:snapToGrid w:val="0"/>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设计比赛场地及要求</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计算机机房，比赛面积不少于</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00m</w:t>
      </w:r>
      <w:r>
        <w:rPr>
          <w:rFonts w:hint="eastAsia" w:ascii="仿宋_GB2312" w:hAnsi="仿宋_GB2312" w:eastAsia="仿宋_GB2312" w:cs="仿宋_GB2312"/>
          <w:sz w:val="28"/>
          <w:szCs w:val="28"/>
          <w:vertAlign w:val="superscript"/>
        </w:rPr>
        <w:t>2</w:t>
      </w:r>
      <w:r>
        <w:rPr>
          <w:rFonts w:hint="eastAsia" w:ascii="仿宋_GB2312" w:hAnsi="仿宋_GB2312" w:eastAsia="仿宋_GB2312" w:cs="仿宋_GB2312"/>
          <w:sz w:val="28"/>
          <w:szCs w:val="28"/>
        </w:rPr>
        <w:t>，电脑不少于</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0台；配有多媒体讲台，包括投影仪、交换机、服务器、投影屏幕等设备。</w:t>
      </w:r>
      <w:r>
        <w:rPr>
          <w:rFonts w:hint="eastAsia" w:ascii="仿宋_GB2312" w:hAnsi="仿宋" w:eastAsia="仿宋_GB2312"/>
          <w:sz w:val="32"/>
          <w:szCs w:val="32"/>
        </w:rPr>
        <w:t>赛场内安</w:t>
      </w:r>
      <w:r>
        <w:rPr>
          <w:rFonts w:hint="eastAsia" w:ascii="仿宋_GB2312" w:hAnsi="仿宋_GB2312" w:eastAsia="仿宋_GB2312" w:cs="仿宋_GB2312"/>
          <w:sz w:val="28"/>
          <w:szCs w:val="28"/>
        </w:rPr>
        <w:t>装监控设备；赛场走廊安装玻璃墙，透明、通亮，适合观摩。</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多媒体讲台主控电脑可以发送电子文件至每组电脑，并可收取学生作品文件。每组两台电脑通过局域网相联，各组之间独立运行。</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机房安装有监控设备，比赛环境安全、安静无干扰。</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九、技术规范</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1.按照教育部高职高专园林技术、环境艺术设计、建筑工程技术、园林工程技术等相关专业教学基本要求和2017年世界技能比赛园艺赛项规程等规定的知识和技能要求。</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2.国家标准：《普通混凝土小型砌块》（GB/T 8239—2014）、《砌体结构工程施工规范》（GB50924—2014）、《工程量清单计价规范》（GB50500-2008）、《砌体结构工程施工质量验收规范》（GB50203-2011）。</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3.行业标准：《园林绿化工程施工及验收规范》（CJJA3_82-2012）、《喷泉水景工程技术规程》（CJJ/T222-2015）、《建设工程施工现场环境与卫生标准》（JGJ146—2013）。</w:t>
      </w:r>
    </w:p>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十、技术平台</w:t>
      </w:r>
    </w:p>
    <w:p>
      <w:pPr>
        <w:pageBreakBefore w:val="0"/>
        <w:kinsoku/>
        <w:overflowPunct/>
        <w:autoSpaceDE/>
        <w:autoSpaceDN/>
        <w:bidi w:val="0"/>
        <w:snapToGrid w:val="0"/>
        <w:spacing w:line="560" w:lineRule="exact"/>
        <w:ind w:left="0" w:leftChars="0" w:right="0" w:rightChars="0" w:firstLine="1029" w:firstLineChars="366"/>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设计比赛应用软件</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Windows 7操作系统、中文AutoCAD2012中文版、Adobe Photoshop CS6中文版、3Dmax2010中文版、SketchUp 8中文版，以及Office 2007等计算机软件。</w:t>
      </w:r>
    </w:p>
    <w:p>
      <w:pPr>
        <w:pageBreakBefore w:val="0"/>
        <w:kinsoku/>
        <w:overflowPunct/>
        <w:autoSpaceDE/>
        <w:autoSpaceDN/>
        <w:bidi w:val="0"/>
        <w:adjustRightInd w:val="0"/>
        <w:snapToGrid w:val="0"/>
        <w:spacing w:line="560" w:lineRule="exact"/>
        <w:ind w:left="0" w:leftChars="0" w:right="0" w:rightChars="0" w:firstLine="561"/>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2.材料</w:t>
      </w:r>
    </w:p>
    <w:p>
      <w:pPr>
        <w:pageBreakBefore w:val="0"/>
        <w:kinsoku/>
        <w:overflowPunct/>
        <w:autoSpaceDE/>
        <w:autoSpaceDN/>
        <w:bidi w:val="0"/>
        <w:snapToGrid w:val="0"/>
        <w:spacing w:line="560" w:lineRule="exact"/>
        <w:ind w:left="0" w:leftChars="0" w:right="0" w:righ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根据图纸要求，统一提供园林植物、石材等施工材料（见表4），比赛时可以从提供的材料中选择性应用。</w:t>
      </w:r>
    </w:p>
    <w:p>
      <w:pPr>
        <w:pageBreakBefore w:val="0"/>
        <w:kinsoku/>
        <w:overflowPunct/>
        <w:autoSpaceDE/>
        <w:autoSpaceDN/>
        <w:bidi w:val="0"/>
        <w:adjustRightInd w:val="0"/>
        <w:snapToGrid w:val="0"/>
        <w:spacing w:line="560" w:lineRule="exact"/>
        <w:ind w:left="0" w:leftChars="0" w:right="0" w:rightChars="0" w:firstLine="561"/>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石材包括</w:t>
      </w:r>
      <w:r>
        <w:rPr>
          <w:rFonts w:hint="eastAsia" w:ascii="仿宋_GB2312" w:hAnsi="仿宋_GB2312" w:eastAsia="仿宋_GB2312" w:cs="仿宋_GB2312"/>
          <w:color w:val="000000" w:themeColor="text1"/>
          <w:sz w:val="28"/>
          <w:szCs w:val="28"/>
          <w14:textFill>
            <w14:solidFill>
              <w14:schemeClr w14:val="tx1"/>
            </w14:solidFill>
          </w14:textFill>
        </w:rPr>
        <w:t>汀步、花池盖板、卵石</w:t>
      </w:r>
      <w:r>
        <w:rPr>
          <w:rFonts w:hint="eastAsia" w:ascii="仿宋_GB2312" w:hAnsi="仿宋_GB2312" w:eastAsia="仿宋_GB2312" w:cs="仿宋_GB2312"/>
          <w:sz w:val="28"/>
          <w:szCs w:val="28"/>
        </w:rPr>
        <w:t>等。</w:t>
      </w:r>
    </w:p>
    <w:p>
      <w:pPr>
        <w:pageBreakBefore w:val="0"/>
        <w:kinsoku/>
        <w:overflowPunct/>
        <w:autoSpaceDE/>
        <w:autoSpaceDN/>
        <w:bidi w:val="0"/>
        <w:adjustRightInd w:val="0"/>
        <w:snapToGrid w:val="0"/>
        <w:spacing w:line="560" w:lineRule="exact"/>
        <w:ind w:left="0" w:leftChars="0" w:right="0" w:rightChars="0"/>
        <w:jc w:val="center"/>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4"/>
          <w:szCs w:val="24"/>
        </w:rPr>
        <w:t>表4  园林景观设计主要提供的可选材料</w:t>
      </w:r>
      <w:r>
        <w:rPr>
          <w:rFonts w:hint="eastAsia" w:ascii="仿宋_GB2312" w:hAnsi="仿宋_GB2312" w:eastAsia="仿宋_GB2312" w:cs="仿宋_GB2312"/>
          <w:b/>
          <w:sz w:val="24"/>
          <w:szCs w:val="24"/>
          <w:lang w:val="en-US" w:eastAsia="zh-CN"/>
        </w:rPr>
        <w:t>及数量</w:t>
      </w:r>
      <w:r>
        <w:rPr>
          <w:rFonts w:hint="eastAsia" w:ascii="仿宋_GB2312" w:hAnsi="仿宋_GB2312" w:eastAsia="仿宋_GB2312" w:cs="仿宋_GB2312"/>
          <w:b/>
          <w:sz w:val="24"/>
          <w:szCs w:val="24"/>
        </w:rPr>
        <w:t>（每个工位）</w:t>
      </w:r>
    </w:p>
    <w:tbl>
      <w:tblPr>
        <w:tblStyle w:val="12"/>
        <w:tblW w:w="8770" w:type="dxa"/>
        <w:jc w:val="center"/>
        <w:tblLayout w:type="fixed"/>
        <w:tblCellMar>
          <w:top w:w="0" w:type="dxa"/>
          <w:left w:w="108" w:type="dxa"/>
          <w:bottom w:w="0" w:type="dxa"/>
          <w:right w:w="108" w:type="dxa"/>
        </w:tblCellMar>
      </w:tblPr>
      <w:tblGrid>
        <w:gridCol w:w="732"/>
        <w:gridCol w:w="851"/>
        <w:gridCol w:w="1247"/>
        <w:gridCol w:w="3147"/>
        <w:gridCol w:w="1134"/>
        <w:gridCol w:w="1659"/>
      </w:tblGrid>
      <w:tr>
        <w:tblPrEx>
          <w:tblCellMar>
            <w:top w:w="0" w:type="dxa"/>
            <w:left w:w="108" w:type="dxa"/>
            <w:bottom w:w="0" w:type="dxa"/>
            <w:right w:w="108" w:type="dxa"/>
          </w:tblCellMar>
        </w:tblPrEx>
        <w:trPr>
          <w:trHeight w:val="397" w:hRule="atLeast"/>
          <w:tblHeader/>
          <w:jc w:val="center"/>
        </w:trPr>
        <w:tc>
          <w:tcPr>
            <w:tcW w:w="73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类别</w:t>
            </w:r>
          </w:p>
        </w:tc>
        <w:tc>
          <w:tcPr>
            <w:tcW w:w="851"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序号</w:t>
            </w:r>
          </w:p>
        </w:tc>
        <w:tc>
          <w:tcPr>
            <w:tcW w:w="1247"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名称</w:t>
            </w:r>
          </w:p>
        </w:tc>
        <w:tc>
          <w:tcPr>
            <w:tcW w:w="3147"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主要规格</w:t>
            </w:r>
          </w:p>
        </w:tc>
        <w:tc>
          <w:tcPr>
            <w:tcW w:w="1134"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数量</w:t>
            </w:r>
          </w:p>
        </w:tc>
        <w:tc>
          <w:tcPr>
            <w:tcW w:w="1659"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备注</w:t>
            </w: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植物</w:t>
            </w: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独杆石楠</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高1.5-1.8m，地径5cm以上,分支点0.9-1.1m，树形圆满整齐</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白皮松</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高1.0-1.5m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花石榴</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高0.8—1.0m，冠径0.5—0.6m,5个分支</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红叶石楠</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高0.5-0.7m，冠径0.5-0.6m,地径3cm,分支4-5个，呈球形</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南天竹</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高0.3-0.5m，冠径0.3-0.4m，5头以上</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小叶女贞</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高0.5-0.6m，3-4分枝</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15株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草花两种</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蓬径0.3m，分支4-5个</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共80盆</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2种各40盆</w:t>
            </w: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变叶木</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0.4m*0.3m（高*冠）,3分支</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10盆</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草皮</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混播草（面积足量）</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15㎡</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石材</w:t>
            </w: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花岗岩板</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500*250*30mm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25块</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芝麻白火烧面</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花岗岩板</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250*250*30mm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25块</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芝麻白火烧面</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12</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卵石</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直径2-4cm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10袋</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100斤左右/每袋</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13</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景石</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粒径200-500</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10块</w:t>
            </w:r>
          </w:p>
        </w:tc>
        <w:tc>
          <w:tcPr>
            <w:tcW w:w="1659"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黄蜡石</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（自然形状）</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14</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花岗岩块石</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500*250*200mm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3块</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芝麻白</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（机切面）</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15</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黄木纹片岩</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100-600mm、厚40-80mm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2立方</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自然石墙、板凳基础可用</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16</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小料石</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80*80*80mm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100个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自然面，</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芝麻黑</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17</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路沿石</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500*200*50mm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30个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花岗岩石</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18</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砂岩板</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600*600*30mm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10块</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黄砂岩</w:t>
            </w: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砌筑</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材料</w:t>
            </w: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19</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水泥砖</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240*115*53mm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400块</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20</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轻质砖</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600*200*100mm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60块</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围挡或者坐凳基础</w:t>
            </w:r>
          </w:p>
        </w:tc>
      </w:tr>
      <w:tr>
        <w:tblPrEx>
          <w:tblCellMar>
            <w:top w:w="0" w:type="dxa"/>
            <w:left w:w="108" w:type="dxa"/>
            <w:bottom w:w="0" w:type="dxa"/>
            <w:right w:w="108" w:type="dxa"/>
          </w:tblCellMar>
        </w:tblPrEx>
        <w:trPr>
          <w:trHeight w:val="397" w:hRule="atLeast"/>
          <w:jc w:val="center"/>
        </w:trPr>
        <w:tc>
          <w:tcPr>
            <w:tcW w:w="732" w:type="dxa"/>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园路铺装砖材</w:t>
            </w: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21</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面包砖</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200*100*50mm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100块</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木材</w:t>
            </w: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22</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防腐木面板</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30*90*4000㎜</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20块</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松木类（尺寸误差2mm)</w:t>
            </w: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23</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防腐木龙骨1</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40*70*4000㎜</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6根</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松木类（尺寸误差2mm)</w:t>
            </w: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24</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防腐木龙骨2</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50*50*4000㎜</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6根</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松木类（尺寸误差2mm)</w:t>
            </w: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25</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防腐木立柱</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85*85*4000㎜</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4根</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松木类（尺寸误差2mm)</w:t>
            </w: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灯具</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26</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草坪灯</w:t>
            </w:r>
          </w:p>
        </w:tc>
        <w:tc>
          <w:tcPr>
            <w:tcW w:w="314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36W，黑色LED灯</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1个</w:t>
            </w:r>
          </w:p>
        </w:tc>
        <w:tc>
          <w:tcPr>
            <w:tcW w:w="1659"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27</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电线</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2.5电线红蓝色各1盘</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2盘</w:t>
            </w:r>
          </w:p>
        </w:tc>
        <w:tc>
          <w:tcPr>
            <w:tcW w:w="1659"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25m/盘</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28</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插头</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三相，两相各1个</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2个</w:t>
            </w:r>
          </w:p>
        </w:tc>
        <w:tc>
          <w:tcPr>
            <w:tcW w:w="1659"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29</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电工胶布</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绝缘胶布</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1卷</w:t>
            </w:r>
          </w:p>
        </w:tc>
        <w:tc>
          <w:tcPr>
            <w:tcW w:w="1659"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30</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拔线钳</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多功能拔线钳</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1个</w:t>
            </w:r>
          </w:p>
        </w:tc>
        <w:tc>
          <w:tcPr>
            <w:tcW w:w="1659"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31</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穿线管</w:t>
            </w:r>
          </w:p>
        </w:tc>
        <w:tc>
          <w:tcPr>
            <w:tcW w:w="314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4分PVC管，管长4m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3根</w:t>
            </w:r>
          </w:p>
        </w:tc>
        <w:tc>
          <w:tcPr>
            <w:tcW w:w="1659"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弯头、直接连接件各10个</w:t>
            </w:r>
          </w:p>
        </w:tc>
      </w:tr>
      <w:tr>
        <w:tblPrEx>
          <w:tblCellMar>
            <w:top w:w="0" w:type="dxa"/>
            <w:left w:w="108" w:type="dxa"/>
            <w:bottom w:w="0" w:type="dxa"/>
            <w:right w:w="108" w:type="dxa"/>
          </w:tblCellMar>
        </w:tblPrEx>
        <w:trPr>
          <w:trHeight w:val="397" w:hRule="atLeast"/>
          <w:jc w:val="center"/>
        </w:trPr>
        <w:tc>
          <w:tcPr>
            <w:tcW w:w="732" w:type="dxa"/>
            <w:vMerge w:val="restart"/>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水景</w:t>
            </w: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32</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PVC管</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管径5cm,管长4m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1根</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33</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水管</w:t>
            </w:r>
          </w:p>
        </w:tc>
        <w:tc>
          <w:tcPr>
            <w:tcW w:w="314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4分白色蛇皮管子加厚，长25m</w:t>
            </w:r>
          </w:p>
        </w:tc>
        <w:tc>
          <w:tcPr>
            <w:tcW w:w="1134"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1盘</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配相应水管卡箍5个</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34</w:t>
            </w:r>
          </w:p>
        </w:tc>
        <w:tc>
          <w:tcPr>
            <w:tcW w:w="124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潜水泵</w:t>
            </w:r>
          </w:p>
        </w:tc>
        <w:tc>
          <w:tcPr>
            <w:tcW w:w="314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功率40w、流量大于39L/min</w:t>
            </w:r>
          </w:p>
        </w:tc>
        <w:tc>
          <w:tcPr>
            <w:tcW w:w="1134"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1台</w:t>
            </w:r>
          </w:p>
        </w:tc>
        <w:tc>
          <w:tcPr>
            <w:tcW w:w="1659"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尺寸小于300*299</w:t>
            </w:r>
          </w:p>
        </w:tc>
      </w:tr>
      <w:tr>
        <w:tblPrEx>
          <w:tblCellMar>
            <w:top w:w="0" w:type="dxa"/>
            <w:left w:w="108" w:type="dxa"/>
            <w:bottom w:w="0" w:type="dxa"/>
            <w:right w:w="108" w:type="dxa"/>
          </w:tblCellMar>
        </w:tblPrEx>
        <w:trPr>
          <w:trHeight w:val="397" w:hRule="atLeast"/>
          <w:jc w:val="center"/>
        </w:trPr>
        <w:tc>
          <w:tcPr>
            <w:tcW w:w="732" w:type="dxa"/>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其他</w:t>
            </w: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35</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电源插板</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15孔，线长5m</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1个</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36</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自攻螺丝</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5cm长3盒</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8cm长2盒</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5盒</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100个/盒</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37</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铁钉</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3.5cm、5.0cm各2盒</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4盒</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100个/盒</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38</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防水塑料布</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加厚薄膜</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20㎡</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宽度4米</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39</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黄沙</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细砂</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5袋</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c>
          <w:tcPr>
            <w:tcW w:w="851"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40</w:t>
            </w:r>
          </w:p>
        </w:tc>
        <w:tc>
          <w:tcPr>
            <w:tcW w:w="12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水泥</w:t>
            </w:r>
          </w:p>
        </w:tc>
        <w:tc>
          <w:tcPr>
            <w:tcW w:w="3147"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32.5</w:t>
            </w:r>
          </w:p>
        </w:tc>
        <w:tc>
          <w:tcPr>
            <w:tcW w:w="1134"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3袋</w:t>
            </w:r>
          </w:p>
        </w:tc>
        <w:tc>
          <w:tcPr>
            <w:tcW w:w="1659" w:type="dxa"/>
            <w:tcBorders>
              <w:top w:val="nil"/>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sz w:val="28"/>
                <w:szCs w:val="28"/>
              </w:rPr>
            </w:pPr>
          </w:p>
        </w:tc>
      </w:tr>
    </w:tbl>
    <w:p>
      <w:pPr>
        <w:pStyle w:val="2"/>
        <w:keepNext/>
        <w:keepLines/>
        <w:pageBreakBefore w:val="0"/>
        <w:widowControl w:val="0"/>
        <w:kinsoku/>
        <w:wordWrap/>
        <w:overflowPunct/>
        <w:topLinePunct w:val="0"/>
        <w:autoSpaceDE/>
        <w:autoSpaceDN/>
        <w:bidi w:val="0"/>
        <w:adjustRightInd/>
        <w:snapToGrid/>
        <w:spacing w:line="560" w:lineRule="exact"/>
        <w:ind w:left="0" w:leftChars="0" w:right="0" w:rightChars="0"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十一、成绩评定</w:t>
      </w:r>
    </w:p>
    <w:p>
      <w:pPr>
        <w:pageBreakBefore w:val="0"/>
        <w:kinsoku/>
        <w:overflowPunct/>
        <w:autoSpaceDE/>
        <w:autoSpaceDN/>
        <w:bidi w:val="0"/>
        <w:snapToGrid w:val="0"/>
        <w:spacing w:line="560" w:lineRule="exact"/>
        <w:ind w:left="0" w:leftChars="0" w:right="0" w:rightChars="0"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（一）评分标准</w:t>
      </w:r>
    </w:p>
    <w:p>
      <w:pPr>
        <w:pageBreakBefore w:val="0"/>
        <w:kinsoku/>
        <w:overflowPunct/>
        <w:autoSpaceDE/>
        <w:autoSpaceDN/>
        <w:bidi w:val="0"/>
        <w:adjustRightInd w:val="0"/>
        <w:snapToGrid w:val="0"/>
        <w:spacing w:line="560" w:lineRule="exact"/>
        <w:ind w:left="0" w:leftChars="0" w:right="0" w:rightChars="0" w:firstLine="562"/>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本次竞赛每个项目成绩总分为</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00分。具体评分标准见表5。</w:t>
      </w:r>
    </w:p>
    <w:p>
      <w:pPr>
        <w:pageBreakBefore w:val="0"/>
        <w:kinsoku/>
        <w:overflowPunct/>
        <w:autoSpaceDE/>
        <w:autoSpaceDN/>
        <w:bidi w:val="0"/>
        <w:adjustRightInd w:val="0"/>
        <w:snapToGrid w:val="0"/>
        <w:spacing w:line="560" w:lineRule="exact"/>
        <w:ind w:left="0" w:leftChars="0" w:right="0" w:rightChars="0"/>
        <w:jc w:val="center"/>
        <w:textAlignment w:val="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表5  小花园设计部分考核要点与分值（共100分）</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5732"/>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trPr>
        <w:tc>
          <w:tcPr>
            <w:tcW w:w="1341"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考核内容</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考核要点</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方案构思</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具有一定的休闲活动功能，符合设计要求</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布局合理，空间形式丰富，园林要素齐全</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构思立意新颖</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41"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封面</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图纸布局、文字编排符合制图规范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41"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目录</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图名、图号、图幅等与详图对应，图号编写符合规范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41"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施工设计说明</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说明基址概况，分项对硬质、软质等部分进行指导性施工说明</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总平面图</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出入口位置和形式合理，道路系统畅通连贯</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比例正确，园林各要素尺度合理</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线型、图例符合制图规范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文字标注正确</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尺寸标注正确</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索引图符号正确</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尺寸定位图</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尺寸标注完整、正确，能指导施工放线</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尺寸标注符合制图规范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方格网的设置、表达正确</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竖向标高设计图</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地形设计有变化、合理</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自然地形用等高线表达正确，符合制图规范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规则地形标高标注正确，符合制图规范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水电布置平面图</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与总平面图、水景详图等相应</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给水、排水、溢水等设施表达正确，符合制图规范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电路布置正确，符合制图规范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地面铺装图</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绘制比例、线型正确，符合制图规范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索引符号、详图符号和剖切符号正确，符合制图规范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平面大样图的材料、尺寸标注正确</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结构剖面图的材料、尺寸标注正确</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平面大样图与结构剖面图、总平面图相符</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地面铺装设计功能合理、形式丰富、有艺术性</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木作</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木作材料、结构符合规范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平面大样图材料、尺寸与结构剖面图、总平面图相符</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绘制比例正确、符合制图规范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景墙</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景墙结构、材料符合规范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绘制比例、线型、剖切符号等正确，符合制图规范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平面大样图材料、尺寸标注正确，与结构剖面图、总平面图相符</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结构剖面图材料、尺寸标注正确，与平面大样图、总平面图相符</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花坛</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花坛结构、材料符合规范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绘制比例、线型、剖切符号等正确，符合制图规范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平面大样图材料、尺寸标注正确，与结构剖面图、总平面图相符</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结构剖面图材料、尺寸标注正确，与平面大样图、总平面图相符</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种植设计图</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乔灌草搭配合理</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植物数量、冠幅与提供材料相符</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苗木统计表规格、数量、图例等与种植设计图相符合</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植物定点准确无误</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文字标注、数据标注正确</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鸟瞰图</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能反映设计意图，内容丰富</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视觉效果好，色彩、透视表达美观</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与施工图内容一致</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方案设计说明</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出图操作</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图纸输出设置正确</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图纸版式与编排布局符合制图规范</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团队合作</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分工协作、配合默契、风格统一</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文明操作</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遵守比赛纪律，不影响别人操作</w:t>
            </w: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合计</w:t>
            </w:r>
          </w:p>
        </w:tc>
        <w:tc>
          <w:tcPr>
            <w:tcW w:w="5732"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textAlignment w:val="auto"/>
              <w:rPr>
                <w:rFonts w:hint="eastAsia" w:ascii="仿宋_GB2312" w:hAnsi="仿宋_GB2312" w:eastAsia="仿宋_GB2312" w:cs="仿宋_GB2312"/>
                <w:sz w:val="24"/>
                <w:szCs w:val="24"/>
              </w:rPr>
            </w:pPr>
          </w:p>
        </w:tc>
        <w:tc>
          <w:tcPr>
            <w:tcW w:w="1449" w:type="dxa"/>
            <w:shd w:val="clear" w:color="auto" w:fill="auto"/>
            <w:vAlign w:val="center"/>
          </w:tcPr>
          <w:p>
            <w:pPr>
              <w:keepNext w:val="0"/>
              <w:keepLines w:val="0"/>
              <w:pageBreakBefore w:val="0"/>
              <w:widowControl w:val="0"/>
              <w:kinsoku/>
              <w:wordWrap/>
              <w:overflowPunct/>
              <w:topLinePunct w:val="0"/>
              <w:autoSpaceDE/>
              <w:autoSpaceDN/>
              <w:bidi w:val="0"/>
              <w:snapToGrid w:val="0"/>
              <w:spacing w:line="240" w:lineRule="auto"/>
              <w:ind w:left="0" w:leftChars="0" w:right="0" w:rightChars="0"/>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100</w:t>
            </w:r>
          </w:p>
        </w:tc>
      </w:tr>
    </w:tbl>
    <w:p>
      <w:pPr>
        <w:pStyle w:val="4"/>
        <w:keepNext w:val="0"/>
        <w:keepLines w:val="0"/>
        <w:adjustRightInd w:val="0"/>
        <w:snapToGrid w:val="0"/>
        <w:spacing w:before="0" w:after="0" w:line="360" w:lineRule="auto"/>
        <w:ind w:firstLine="560" w:firstLineChars="200"/>
        <w:jc w:val="left"/>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十一、评分方法</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技能比赛裁判数量3人，评比时每台电脑展示一个作品，评委可对比分析；评委每人另有一台电脑，内有所有参赛作品，供裁判分析打分；投影仪滚动展示每个作品，便于评议。裁判独立评分，评分汇总后，去掉最高分和最低分，取平均分作为比赛选手最终得分。</w:t>
      </w:r>
    </w:p>
    <w:p>
      <w:pPr>
        <w:pStyle w:val="4"/>
        <w:keepNext w:val="0"/>
        <w:keepLines w:val="0"/>
        <w:adjustRightInd w:val="0"/>
        <w:snapToGrid w:val="0"/>
        <w:spacing w:before="0" w:after="0" w:line="360" w:lineRule="auto"/>
        <w:ind w:firstLine="562" w:firstLineChars="200"/>
        <w:jc w:val="left"/>
        <w:rPr>
          <w:rFonts w:hint="eastAsia" w:ascii="仿宋_GB2312" w:hAnsi="仿宋_GB2312" w:eastAsia="仿宋_GB2312" w:cs="仿宋_GB2312"/>
          <w:b/>
          <w:bCs/>
          <w:kern w:val="44"/>
          <w:sz w:val="28"/>
          <w:szCs w:val="28"/>
          <w:lang w:val="en-US" w:eastAsia="zh-CN" w:bidi="ar-SA"/>
        </w:rPr>
      </w:pPr>
      <w:r>
        <w:rPr>
          <w:rFonts w:hint="eastAsia" w:ascii="仿宋_GB2312" w:hAnsi="仿宋_GB2312" w:eastAsia="仿宋_GB2312" w:cs="仿宋_GB2312"/>
          <w:b/>
          <w:bCs/>
          <w:kern w:val="44"/>
          <w:sz w:val="28"/>
          <w:szCs w:val="28"/>
          <w:lang w:val="en-US" w:eastAsia="zh-CN" w:bidi="ar-SA"/>
        </w:rPr>
        <w:t>十二、奖项设定</w:t>
      </w:r>
    </w:p>
    <w:p>
      <w:pPr>
        <w:spacing w:line="360" w:lineRule="auto"/>
        <w:ind w:firstLine="560" w:firstLineChars="200"/>
        <w:jc w:val="left"/>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本赛项奖项团体奖。团体奖的设定为：一等奖占比10%，二等奖占比20%，三等奖占比30%。</w:t>
      </w:r>
    </w:p>
    <w:p>
      <w:pPr>
        <w:pStyle w:val="4"/>
        <w:keepNext w:val="0"/>
        <w:keepLines w:val="0"/>
        <w:adjustRightInd w:val="0"/>
        <w:snapToGrid w:val="0"/>
        <w:spacing w:before="0" w:after="0" w:line="360" w:lineRule="auto"/>
        <w:ind w:firstLine="640" w:firstLineChars="200"/>
        <w:jc w:val="left"/>
        <w:rPr>
          <w:rFonts w:ascii="黑体" w:hAnsi="黑体" w:eastAsia="黑体" w:cs="黑体"/>
          <w:b w:val="0"/>
          <w:kern w:val="0"/>
        </w:rPr>
      </w:pPr>
      <w:r>
        <w:rPr>
          <w:rFonts w:hint="eastAsia" w:ascii="黑体" w:hAnsi="黑体" w:eastAsia="黑体" w:cs="黑体"/>
          <w:b w:val="0"/>
          <w:kern w:val="0"/>
        </w:rPr>
        <w:t>十三、赛项安全</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1.比赛赛场为技能大赛专用赛场，由专业人员管理比赛设备，电子监控体系进行全方位监控</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2.所有涉赛场所一律凭大赛执委会统一配发证件进入。</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3.进入所有涉赛场所人员一律不得携带包、食品、饮料等非执委会允许带入的物品。</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4.所有涉赛场所严禁吸烟。</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5.人员进入赛场后要严格阅读现场的应急安全疏散图，当发生紧急情况，听到疏散指令（警报声响）时，要迅速按疏散图撤离赛场。</w:t>
      </w:r>
    </w:p>
    <w:p>
      <w:pPr>
        <w:pStyle w:val="4"/>
        <w:keepNext w:val="0"/>
        <w:keepLines w:val="0"/>
        <w:adjustRightInd w:val="0"/>
        <w:snapToGrid w:val="0"/>
        <w:spacing w:before="0" w:after="0" w:line="360" w:lineRule="auto"/>
        <w:ind w:firstLine="640" w:firstLineChars="200"/>
        <w:jc w:val="left"/>
        <w:rPr>
          <w:rFonts w:ascii="黑体" w:hAnsi="黑体" w:eastAsia="黑体" w:cs="黑体"/>
          <w:b w:val="0"/>
          <w:kern w:val="0"/>
        </w:rPr>
      </w:pPr>
      <w:r>
        <w:rPr>
          <w:rFonts w:hint="eastAsia" w:ascii="黑体" w:hAnsi="黑体" w:eastAsia="黑体" w:cs="黑体"/>
          <w:b w:val="0"/>
          <w:kern w:val="0"/>
        </w:rPr>
        <w:t>十四、申诉与仲裁</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本赛项在比赛过程中若出现有失公正或有关人员违规等现象，代表队可在比赛结束后1小时之内向赛项仲裁组提出申诉。大赛采取两级仲裁机制。赛项设仲裁工作组；大赛组委会设仲裁委员会，赛项仲裁工作组在接到申诉后的1小时内组织复议，并及时反馈复议结果。申诉方对复议结果仍有异议，可由参赛院校领队向大赛组委会仲裁委员会提出申诉。大赛组委会仲裁委员会的仲裁结果为最终结果。</w:t>
      </w:r>
    </w:p>
    <w:p>
      <w:pPr>
        <w:pStyle w:val="4"/>
        <w:keepNext w:val="0"/>
        <w:keepLines w:val="0"/>
        <w:adjustRightInd w:val="0"/>
        <w:snapToGrid w:val="0"/>
        <w:spacing w:before="0" w:after="0" w:line="360" w:lineRule="auto"/>
        <w:ind w:firstLine="640" w:firstLineChars="200"/>
        <w:jc w:val="left"/>
        <w:rPr>
          <w:rFonts w:ascii="黑体" w:hAnsi="黑体" w:eastAsia="黑体" w:cs="黑体"/>
          <w:b w:val="0"/>
          <w:kern w:val="0"/>
        </w:rPr>
      </w:pPr>
      <w:r>
        <w:rPr>
          <w:rFonts w:hint="eastAsia" w:ascii="黑体" w:hAnsi="黑体" w:eastAsia="黑体" w:cs="黑体"/>
          <w:b w:val="0"/>
          <w:kern w:val="0"/>
        </w:rPr>
        <w:t>十五、竞赛观摩</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竞赛检录、赛中、评比过程全程监控；允许场外观摩，让比赛过程和裁判接受监督。</w:t>
      </w:r>
    </w:p>
    <w:p>
      <w:pPr>
        <w:pStyle w:val="4"/>
        <w:keepNext w:val="0"/>
        <w:keepLines w:val="0"/>
        <w:adjustRightInd w:val="0"/>
        <w:snapToGrid w:val="0"/>
        <w:spacing w:before="0" w:after="0" w:line="360" w:lineRule="auto"/>
        <w:ind w:firstLine="640" w:firstLineChars="200"/>
        <w:jc w:val="left"/>
        <w:rPr>
          <w:rFonts w:ascii="黑体" w:hAnsi="黑体" w:eastAsia="黑体" w:cs="黑体"/>
          <w:b w:val="0"/>
          <w:kern w:val="0"/>
        </w:rPr>
      </w:pPr>
      <w:r>
        <w:rPr>
          <w:rFonts w:hint="eastAsia" w:ascii="黑体" w:hAnsi="黑体" w:eastAsia="黑体" w:cs="黑体"/>
          <w:b w:val="0"/>
          <w:kern w:val="0"/>
        </w:rPr>
        <w:t>十六、竞赛视频</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通过摄录像，记录竞赛全过程，制作优秀选手采访、优秀指导教师采访、裁判专家点评和企业人士采访视频资料，突出赛项的技能重点与优势特色。为宣传、仲裁、资源转化提供全面的信息资料。</w:t>
      </w:r>
    </w:p>
    <w:p>
      <w:pPr>
        <w:pStyle w:val="4"/>
        <w:keepNext w:val="0"/>
        <w:keepLines w:val="0"/>
        <w:adjustRightInd w:val="0"/>
        <w:snapToGrid w:val="0"/>
        <w:spacing w:before="0" w:after="0" w:line="360" w:lineRule="auto"/>
        <w:ind w:firstLine="640" w:firstLineChars="200"/>
        <w:jc w:val="left"/>
        <w:rPr>
          <w:rFonts w:ascii="黑体" w:hAnsi="黑体" w:eastAsia="黑体" w:cs="黑体"/>
          <w:b w:val="0"/>
          <w:kern w:val="0"/>
        </w:rPr>
      </w:pPr>
      <w:r>
        <w:rPr>
          <w:rFonts w:hint="eastAsia" w:ascii="黑体" w:hAnsi="黑体" w:eastAsia="黑体" w:cs="黑体"/>
          <w:b w:val="0"/>
          <w:kern w:val="0"/>
        </w:rPr>
        <w:t>十七、竞赛须知</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（一）参赛队须知</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1.本竞赛项目为团体赛项目，以学校为单位，每校限报3支参赛队，每支参赛队参赛学生为2人。</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2.参赛选手为2020</w:t>
      </w:r>
      <w:bookmarkStart w:id="0" w:name="_GoBack"/>
      <w:bookmarkEnd w:id="0"/>
      <w:r>
        <w:rPr>
          <w:rFonts w:hint="eastAsia" w:ascii="仿宋_GB2312" w:hAnsi="仿宋_GB2312" w:eastAsia="仿宋_GB2312" w:cs="仿宋_GB2312"/>
          <w:b w:val="0"/>
          <w:bCs w:val="0"/>
          <w:kern w:val="2"/>
          <w:sz w:val="28"/>
          <w:szCs w:val="28"/>
          <w:lang w:val="en-US" w:eastAsia="zh-CN" w:bidi="ar-SA"/>
        </w:rPr>
        <w:t>年同校在籍高职学生，不限性别、不限年级、环艺专业。 </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 3.参赛选手在报名获得确认后，原则上不再更换，如筹备过程中，选手因故不能参赛，参赛学校主管部门需出具书面说明，按相关程序补充参赛选手并接受审核；竞赛开始后，参赛队不得更换参赛选手，允许选手缺席比赛。 </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5.参赛队所有人员在竞赛期间未经组委会批准，不得接受任何与竞赛内容相关的采访，不得将竞赛的相关情况及资料私自公开。</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（二）指导教师须知</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1.指导教师管理好本队选手的活动和安全，遵守并执行大赛组委会的各项规定，确保选手准时参加比赛。</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2.指导教师在比赛期间严格遵守比赛规则，不得私自接触评委。有意见由各校领队向大赛组委会反映。</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3.指导教师不得进入正在比赛的现场。</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（三）参赛选手须知</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1.参赛选手必须持本人身份证和参赛证参加比赛。</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2.着装上不得显示学校校名的中、英文标识及校徽。</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3.参赛选手务必于赛前20 分钟到赛场，迟到15分钟及以上者按弃权处理，已检录入场的参赛选手未经允许，不得擅自离开。</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4.不得携带手机等通讯工具，进入比赛现场。</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5.参赛选手的工位号由抽签决定，不得擅自变更和调整。</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6.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7.比赛结束后，选手必须离开赛场，不得滞留，在引导员的引领下到指定地点。</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（四）工作人员须知。</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1.工作人员必须服从大赛组委会的安排，认真履行职责，做好大赛服务工作。</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2.工作人员要准时到岗，认真检查和核准相关证件。同时安排好领队、指导教师的休息等。</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3.若大赛过程中，出现技术问题（包括设备和器材等），工作人员要与赛场技术人员联系，并及时处理。</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4.工作人员不得在赛场内接听或打电话，在比赛期间一律关闭手机。</w:t>
      </w:r>
    </w:p>
    <w:p>
      <w:pPr>
        <w:spacing w:line="360" w:lineRule="auto"/>
        <w:ind w:firstLine="560" w:firstLineChars="200"/>
        <w:rPr>
          <w:rFonts w:hint="eastAsia" w:ascii="仿宋_GB2312" w:hAnsi="仿宋_GB2312" w:eastAsia="仿宋_GB2312" w:cs="仿宋_GB2312"/>
          <w:b w:val="0"/>
          <w:bCs w:val="0"/>
          <w:kern w:val="2"/>
          <w:sz w:val="28"/>
          <w:szCs w:val="28"/>
          <w:lang w:val="en-US" w:eastAsia="zh-CN" w:bidi="ar-SA"/>
        </w:rPr>
      </w:pPr>
      <w:r>
        <w:rPr>
          <w:rFonts w:hint="eastAsia" w:ascii="仿宋_GB2312" w:hAnsi="仿宋_GB2312" w:eastAsia="仿宋_GB2312" w:cs="仿宋_GB2312"/>
          <w:b w:val="0"/>
          <w:bCs w:val="0"/>
          <w:kern w:val="2"/>
          <w:sz w:val="28"/>
          <w:szCs w:val="28"/>
          <w:lang w:val="en-US" w:eastAsia="zh-CN" w:bidi="ar-SA"/>
        </w:rPr>
        <w:t>5.如遇突发事件，要及时向大赛组委会报告，同时做好疏导工作，避免重大事故的发生，确保大赛顺利进行。</w:t>
      </w:r>
    </w:p>
    <w:p>
      <w:pPr>
        <w:pStyle w:val="4"/>
        <w:keepNext w:val="0"/>
        <w:keepLines w:val="0"/>
        <w:adjustRightInd w:val="0"/>
        <w:snapToGrid w:val="0"/>
        <w:spacing w:before="0" w:after="0" w:line="360" w:lineRule="auto"/>
        <w:ind w:firstLine="640" w:firstLineChars="200"/>
        <w:jc w:val="left"/>
        <w:rPr>
          <w:rFonts w:ascii="黑体" w:hAnsi="黑体" w:eastAsia="黑体" w:cs="黑体"/>
          <w:b w:val="0"/>
          <w:kern w:val="0"/>
        </w:rPr>
      </w:pPr>
      <w:r>
        <w:rPr>
          <w:rFonts w:hint="eastAsia" w:ascii="黑体" w:hAnsi="黑体" w:eastAsia="黑体" w:cs="黑体"/>
          <w:b w:val="0"/>
          <w:kern w:val="0"/>
        </w:rPr>
        <w:t>十八、资源转化</w:t>
      </w:r>
    </w:p>
    <w:p>
      <w:pPr>
        <w:snapToGrid w:val="0"/>
        <w:spacing w:line="360" w:lineRule="auto"/>
        <w:ind w:firstLine="640" w:firstLineChars="200"/>
        <w:jc w:val="left"/>
        <w:rPr>
          <w:rFonts w:ascii="仿宋_GB2312" w:hAnsi="仿宋" w:eastAsia="仿宋_GB2312"/>
          <w:sz w:val="32"/>
          <w:szCs w:val="32"/>
        </w:rPr>
      </w:pPr>
      <w:r>
        <w:rPr>
          <w:rFonts w:hint="eastAsia" w:ascii="仿宋_GB2312" w:hAnsi="仿宋" w:eastAsia="仿宋_GB2312"/>
          <w:sz w:val="32"/>
          <w:szCs w:val="32"/>
        </w:rPr>
        <w:t>1.将比赛作品转化为教学资源</w:t>
      </w:r>
    </w:p>
    <w:p>
      <w:pPr>
        <w:snapToGrid w:val="0"/>
        <w:spacing w:line="360" w:lineRule="auto"/>
        <w:ind w:firstLine="640" w:firstLineChars="200"/>
        <w:jc w:val="left"/>
        <w:rPr>
          <w:rFonts w:ascii="仿宋_GB2312" w:hAnsi="仿宋" w:eastAsia="仿宋_GB2312"/>
          <w:sz w:val="32"/>
          <w:szCs w:val="32"/>
        </w:rPr>
      </w:pPr>
      <w:r>
        <w:rPr>
          <w:rFonts w:hint="eastAsia" w:ascii="仿宋_GB2312" w:hAnsi="仿宋" w:eastAsia="仿宋_GB2312"/>
          <w:sz w:val="32"/>
          <w:szCs w:val="32"/>
        </w:rPr>
        <w:t>通过审批，将比赛形成的园林景观设计作品整理后在海南</w:t>
      </w:r>
      <w:r>
        <w:rPr>
          <w:rFonts w:hint="eastAsia" w:ascii="仿宋_GB2312" w:hAnsi="仿宋" w:eastAsia="仿宋_GB2312"/>
          <w:sz w:val="32"/>
          <w:szCs w:val="32"/>
          <w:lang w:eastAsia="zh-CN"/>
        </w:rPr>
        <w:t>软件</w:t>
      </w:r>
      <w:r>
        <w:rPr>
          <w:rFonts w:hint="eastAsia" w:ascii="仿宋_GB2312" w:hAnsi="仿宋" w:eastAsia="仿宋_GB2312"/>
          <w:sz w:val="32"/>
          <w:szCs w:val="32"/>
        </w:rPr>
        <w:t>职业技术学院网络平台中展示，供各校交流学习。</w:t>
      </w:r>
    </w:p>
    <w:p>
      <w:pPr>
        <w:snapToGrid w:val="0"/>
        <w:spacing w:line="360" w:lineRule="auto"/>
        <w:ind w:firstLine="640" w:firstLineChars="200"/>
        <w:jc w:val="left"/>
        <w:rPr>
          <w:rFonts w:ascii="仿宋_GB2312" w:hAnsi="仿宋" w:eastAsia="仿宋_GB2312"/>
          <w:sz w:val="32"/>
          <w:szCs w:val="32"/>
        </w:rPr>
      </w:pPr>
      <w:r>
        <w:rPr>
          <w:rFonts w:hint="eastAsia" w:ascii="仿宋_GB2312" w:hAnsi="仿宋" w:eastAsia="仿宋_GB2312"/>
          <w:sz w:val="32"/>
          <w:szCs w:val="32"/>
        </w:rPr>
        <w:t>2.与企业共同开发课程标准和比赛项目评分标准</w:t>
      </w:r>
    </w:p>
    <w:p>
      <w:pPr>
        <w:snapToGrid w:val="0"/>
        <w:spacing w:line="360" w:lineRule="auto"/>
        <w:ind w:firstLine="640" w:firstLineChars="200"/>
        <w:jc w:val="left"/>
        <w:rPr>
          <w:sz w:val="32"/>
          <w:szCs w:val="32"/>
        </w:rPr>
      </w:pPr>
      <w:r>
        <w:rPr>
          <w:rFonts w:hint="eastAsia" w:ascii="仿宋_GB2312" w:hAnsi="仿宋" w:eastAsia="仿宋_GB2312"/>
          <w:sz w:val="32"/>
          <w:szCs w:val="32"/>
        </w:rPr>
        <w:t>通过技能大赛，请企业专家参与景观规划设计项目操作步骤及评分标准的制定，使比赛内容与当前生产实际接轨。按照社会和企业的需求，让学生在“学中做、做中学”，实现培养目标与企业的“零距离”对接，培养更多适应产业需求和社会主义新农村建设需要的高素质技能型合格人才。</w:t>
      </w:r>
    </w:p>
    <w:p>
      <w:pPr>
        <w:pStyle w:val="6"/>
        <w:snapToGrid w:val="0"/>
        <w:spacing w:line="560" w:lineRule="exact"/>
        <w:ind w:firstLine="560" w:firstLineChars="200"/>
        <w:jc w:val="left"/>
        <w:rPr>
          <w:rFonts w:ascii="仿宋_GB2312" w:hAnsi="Arial Narrow" w:eastAsia="仿宋_GB2312" w:cs="宋体"/>
          <w:sz w:val="28"/>
          <w:szCs w:val="28"/>
        </w:rPr>
      </w:pPr>
    </w:p>
    <w:sectPr>
      <w:footerReference r:id="rId3"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DengXian Light">
    <w:altName w:val="Times New Roman"/>
    <w:panose1 w:val="00000000000000000000"/>
    <w:charset w:val="00"/>
    <w:family w:val="roman"/>
    <w:pitch w:val="default"/>
    <w:sig w:usb0="00000000" w:usb1="00000000" w:usb2="00000000" w:usb3="00000000" w:csb0="00000000" w:csb1="00000000"/>
  </w:font>
  <w:font w:name="DengXian">
    <w:altName w:val="Times New Roman"/>
    <w:panose1 w:val="00000000000000000000"/>
    <w:charset w:val="00"/>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066896"/>
    </w:sdtPr>
    <w:sdtContent>
      <w:p>
        <w:pPr>
          <w:pStyle w:val="8"/>
          <w:jc w:val="cente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lang w:val="zh-CN"/>
          </w:rPr>
          <w:t>26</w:t>
        </w:r>
        <w:r>
          <w:rPr>
            <w:rFonts w:ascii="Times New Roman" w:hAnsi="Times New Roman" w:cs="Times New Roman"/>
            <w:sz w:val="21"/>
            <w:szCs w:val="21"/>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3F8BBE"/>
    <w:multiLevelType w:val="singleLevel"/>
    <w:tmpl w:val="5A3F8BBE"/>
    <w:lvl w:ilvl="0" w:tentative="0">
      <w:start w:val="1"/>
      <w:numFmt w:val="decimal"/>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E3A"/>
    <w:rsid w:val="000415E3"/>
    <w:rsid w:val="00043F2B"/>
    <w:rsid w:val="00045BD5"/>
    <w:rsid w:val="00053C60"/>
    <w:rsid w:val="0006321A"/>
    <w:rsid w:val="00066275"/>
    <w:rsid w:val="000B1810"/>
    <w:rsid w:val="000E46FB"/>
    <w:rsid w:val="00107D9A"/>
    <w:rsid w:val="001103D3"/>
    <w:rsid w:val="001365D3"/>
    <w:rsid w:val="00140922"/>
    <w:rsid w:val="001C1C56"/>
    <w:rsid w:val="001E703B"/>
    <w:rsid w:val="00240277"/>
    <w:rsid w:val="002A4D70"/>
    <w:rsid w:val="002D0ECE"/>
    <w:rsid w:val="0030162C"/>
    <w:rsid w:val="00397D54"/>
    <w:rsid w:val="004806FD"/>
    <w:rsid w:val="004820A8"/>
    <w:rsid w:val="004D1244"/>
    <w:rsid w:val="00511232"/>
    <w:rsid w:val="00515512"/>
    <w:rsid w:val="00520158"/>
    <w:rsid w:val="005459E8"/>
    <w:rsid w:val="00546F91"/>
    <w:rsid w:val="005E697A"/>
    <w:rsid w:val="0060752E"/>
    <w:rsid w:val="0061307C"/>
    <w:rsid w:val="00681EF1"/>
    <w:rsid w:val="00692475"/>
    <w:rsid w:val="006A2E63"/>
    <w:rsid w:val="00786D7E"/>
    <w:rsid w:val="00794277"/>
    <w:rsid w:val="007A4FB7"/>
    <w:rsid w:val="007E286E"/>
    <w:rsid w:val="007F1A00"/>
    <w:rsid w:val="0080282F"/>
    <w:rsid w:val="00815280"/>
    <w:rsid w:val="008C5063"/>
    <w:rsid w:val="009809B3"/>
    <w:rsid w:val="00991D00"/>
    <w:rsid w:val="00994F41"/>
    <w:rsid w:val="009C113C"/>
    <w:rsid w:val="00A94D30"/>
    <w:rsid w:val="00AA2162"/>
    <w:rsid w:val="00AC2CEC"/>
    <w:rsid w:val="00AC70C6"/>
    <w:rsid w:val="00AE7609"/>
    <w:rsid w:val="00B12FF9"/>
    <w:rsid w:val="00B32325"/>
    <w:rsid w:val="00B3669A"/>
    <w:rsid w:val="00B55A8C"/>
    <w:rsid w:val="00B9274C"/>
    <w:rsid w:val="00BB0A2A"/>
    <w:rsid w:val="00BC1B68"/>
    <w:rsid w:val="00C234D4"/>
    <w:rsid w:val="00C3737D"/>
    <w:rsid w:val="00C61636"/>
    <w:rsid w:val="00C86F19"/>
    <w:rsid w:val="00CB090F"/>
    <w:rsid w:val="00CB47B6"/>
    <w:rsid w:val="00CD3E3A"/>
    <w:rsid w:val="00CE00DB"/>
    <w:rsid w:val="00D11D33"/>
    <w:rsid w:val="00DB37AB"/>
    <w:rsid w:val="00DC0B11"/>
    <w:rsid w:val="00DE7730"/>
    <w:rsid w:val="00DF1FBC"/>
    <w:rsid w:val="00E54231"/>
    <w:rsid w:val="00E61DF6"/>
    <w:rsid w:val="00ED409E"/>
    <w:rsid w:val="00F409DE"/>
    <w:rsid w:val="00F722EB"/>
    <w:rsid w:val="00FB2DD3"/>
    <w:rsid w:val="07D677BF"/>
    <w:rsid w:val="08435D84"/>
    <w:rsid w:val="0A3211E9"/>
    <w:rsid w:val="118B559C"/>
    <w:rsid w:val="12D74E9B"/>
    <w:rsid w:val="1B400C0E"/>
    <w:rsid w:val="1BD95F01"/>
    <w:rsid w:val="1F0E4576"/>
    <w:rsid w:val="1F452C58"/>
    <w:rsid w:val="211E1996"/>
    <w:rsid w:val="21EF6FD1"/>
    <w:rsid w:val="21FD214C"/>
    <w:rsid w:val="255B56E4"/>
    <w:rsid w:val="26677C82"/>
    <w:rsid w:val="28EE4B1C"/>
    <w:rsid w:val="2A72283E"/>
    <w:rsid w:val="2AC80E71"/>
    <w:rsid w:val="2DF314AE"/>
    <w:rsid w:val="2FB47D97"/>
    <w:rsid w:val="31F562C0"/>
    <w:rsid w:val="348345E7"/>
    <w:rsid w:val="34950587"/>
    <w:rsid w:val="35641227"/>
    <w:rsid w:val="36FD1068"/>
    <w:rsid w:val="3B8465E6"/>
    <w:rsid w:val="417B38AA"/>
    <w:rsid w:val="418F68E1"/>
    <w:rsid w:val="41C212E2"/>
    <w:rsid w:val="427156DA"/>
    <w:rsid w:val="47D00B33"/>
    <w:rsid w:val="489C47C5"/>
    <w:rsid w:val="4A735EFE"/>
    <w:rsid w:val="4D381E41"/>
    <w:rsid w:val="54635117"/>
    <w:rsid w:val="55406CC7"/>
    <w:rsid w:val="56285B8F"/>
    <w:rsid w:val="57A86DB5"/>
    <w:rsid w:val="5C4F7D19"/>
    <w:rsid w:val="5C7027E3"/>
    <w:rsid w:val="5DB32A90"/>
    <w:rsid w:val="5DC9676B"/>
    <w:rsid w:val="609E3FCB"/>
    <w:rsid w:val="61DA00A7"/>
    <w:rsid w:val="624E2BFD"/>
    <w:rsid w:val="6A922E62"/>
    <w:rsid w:val="704330C5"/>
    <w:rsid w:val="7134008F"/>
    <w:rsid w:val="71981271"/>
    <w:rsid w:val="72FA080A"/>
    <w:rsid w:val="75DB059A"/>
    <w:rsid w:val="783B6A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25"/>
    <w:qFormat/>
    <w:uiPriority w:val="9"/>
    <w:pPr>
      <w:keepNext/>
      <w:keepLines/>
      <w:jc w:val="left"/>
      <w:outlineLvl w:val="0"/>
    </w:pPr>
    <w:rPr>
      <w:rFonts w:eastAsia="仿宋_GB2312"/>
      <w:b/>
      <w:bCs/>
      <w:kern w:val="44"/>
      <w:sz w:val="28"/>
      <w:szCs w:val="44"/>
    </w:rPr>
  </w:style>
  <w:style w:type="paragraph" w:styleId="3">
    <w:name w:val="heading 2"/>
    <w:basedOn w:val="1"/>
    <w:next w:val="1"/>
    <w:link w:val="2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Times New Roman" w:hAnsi="Times New Roman" w:eastAsia="宋体" w:cs="Times New Roman"/>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8"/>
    <w:semiHidden/>
    <w:unhideWhenUsed/>
    <w:qFormat/>
    <w:uiPriority w:val="99"/>
    <w:pPr>
      <w:jc w:val="left"/>
    </w:pPr>
  </w:style>
  <w:style w:type="paragraph" w:styleId="6">
    <w:name w:val="Plain Text"/>
    <w:basedOn w:val="1"/>
    <w:link w:val="18"/>
    <w:qFormat/>
    <w:uiPriority w:val="99"/>
    <w:rPr>
      <w:rFonts w:ascii="宋体" w:hAnsi="Courier New" w:eastAsiaTheme="minorEastAsia" w:cstheme="minorBidi"/>
      <w:szCs w:val="21"/>
    </w:rPr>
  </w:style>
  <w:style w:type="paragraph" w:styleId="7">
    <w:name w:val="Balloon Text"/>
    <w:basedOn w:val="1"/>
    <w:link w:val="19"/>
    <w:qFormat/>
    <w:uiPriority w:val="99"/>
    <w:rPr>
      <w:rFonts w:asciiTheme="minorHAnsi" w:hAnsiTheme="minorHAnsi" w:eastAsiaTheme="minorEastAsia" w:cstheme="minorBidi"/>
      <w:sz w:val="18"/>
      <w:szCs w:val="18"/>
    </w:rPr>
  </w:style>
  <w:style w:type="paragraph" w:styleId="8">
    <w:name w:val="footer"/>
    <w:basedOn w:val="1"/>
    <w:link w:val="16"/>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2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cs="宋体"/>
      <w:sz w:val="18"/>
      <w:szCs w:val="20"/>
    </w:rPr>
  </w:style>
  <w:style w:type="paragraph" w:styleId="10">
    <w:name w:val="footnote text"/>
    <w:basedOn w:val="1"/>
    <w:link w:val="27"/>
    <w:semiHidden/>
    <w:unhideWhenUsed/>
    <w:qFormat/>
    <w:uiPriority w:val="99"/>
    <w:pPr>
      <w:snapToGrid w:val="0"/>
      <w:jc w:val="left"/>
    </w:pPr>
    <w:rPr>
      <w:sz w:val="18"/>
      <w:szCs w:val="18"/>
    </w:rPr>
  </w:style>
  <w:style w:type="paragraph" w:styleId="11">
    <w:name w:val="annotation subject"/>
    <w:basedOn w:val="5"/>
    <w:next w:val="5"/>
    <w:link w:val="29"/>
    <w:semiHidden/>
    <w:unhideWhenUsed/>
    <w:qFormat/>
    <w:uiPriority w:val="99"/>
    <w:rPr>
      <w:b/>
      <w:bCs/>
    </w:rPr>
  </w:style>
  <w:style w:type="character" w:styleId="14">
    <w:name w:val="annotation reference"/>
    <w:basedOn w:val="13"/>
    <w:semiHidden/>
    <w:unhideWhenUsed/>
    <w:qFormat/>
    <w:uiPriority w:val="99"/>
    <w:rPr>
      <w:sz w:val="21"/>
      <w:szCs w:val="21"/>
    </w:rPr>
  </w:style>
  <w:style w:type="character" w:styleId="15">
    <w:name w:val="footnote reference"/>
    <w:basedOn w:val="13"/>
    <w:semiHidden/>
    <w:unhideWhenUsed/>
    <w:qFormat/>
    <w:uiPriority w:val="99"/>
    <w:rPr>
      <w:vertAlign w:val="superscript"/>
    </w:rPr>
  </w:style>
  <w:style w:type="character" w:customStyle="1" w:styleId="16">
    <w:name w:val="页脚 Char"/>
    <w:link w:val="8"/>
    <w:qFormat/>
    <w:uiPriority w:val="99"/>
    <w:rPr>
      <w:sz w:val="18"/>
      <w:szCs w:val="18"/>
    </w:rPr>
  </w:style>
  <w:style w:type="character" w:customStyle="1" w:styleId="17">
    <w:name w:val="页脚字符1"/>
    <w:basedOn w:val="13"/>
    <w:semiHidden/>
    <w:qFormat/>
    <w:uiPriority w:val="99"/>
    <w:rPr>
      <w:rFonts w:ascii="Calibri" w:hAnsi="Calibri" w:eastAsia="宋体" w:cs="Times New Roman"/>
      <w:sz w:val="18"/>
      <w:szCs w:val="18"/>
    </w:rPr>
  </w:style>
  <w:style w:type="character" w:customStyle="1" w:styleId="18">
    <w:name w:val="纯文本 Char"/>
    <w:basedOn w:val="13"/>
    <w:link w:val="6"/>
    <w:qFormat/>
    <w:uiPriority w:val="99"/>
    <w:rPr>
      <w:rFonts w:ascii="宋体" w:hAnsi="Courier New"/>
      <w:sz w:val="21"/>
      <w:szCs w:val="21"/>
    </w:rPr>
  </w:style>
  <w:style w:type="character" w:customStyle="1" w:styleId="19">
    <w:name w:val="批注框文本 Char"/>
    <w:basedOn w:val="13"/>
    <w:link w:val="7"/>
    <w:qFormat/>
    <w:uiPriority w:val="99"/>
    <w:rPr>
      <w:sz w:val="18"/>
      <w:szCs w:val="18"/>
    </w:rPr>
  </w:style>
  <w:style w:type="character" w:customStyle="1" w:styleId="20">
    <w:name w:val="页眉 Char"/>
    <w:basedOn w:val="13"/>
    <w:link w:val="9"/>
    <w:qFormat/>
    <w:uiPriority w:val="0"/>
    <w:rPr>
      <w:rFonts w:ascii="Times New Roman" w:hAnsi="Times New Roman" w:eastAsia="宋体" w:cs="宋体"/>
      <w:sz w:val="18"/>
      <w:szCs w:val="20"/>
    </w:rPr>
  </w:style>
  <w:style w:type="paragraph" w:styleId="21">
    <w:name w:val="List Paragraph"/>
    <w:basedOn w:val="1"/>
    <w:qFormat/>
    <w:uiPriority w:val="34"/>
    <w:pPr>
      <w:ind w:firstLine="420" w:firstLineChars="200"/>
    </w:pPr>
    <w:rPr>
      <w:rFonts w:asciiTheme="minorHAnsi" w:hAnsiTheme="minorHAnsi" w:eastAsiaTheme="minorEastAsia" w:cstheme="minorBidi"/>
      <w:sz w:val="24"/>
    </w:rPr>
  </w:style>
  <w:style w:type="paragraph" w:customStyle="1" w:styleId="22">
    <w:name w:val="默认段落字体 Para Char Char Char Char Char Char Char"/>
    <w:basedOn w:val="1"/>
    <w:qFormat/>
    <w:uiPriority w:val="0"/>
    <w:pPr>
      <w:adjustRightInd w:val="0"/>
      <w:spacing w:line="360" w:lineRule="auto"/>
    </w:pPr>
    <w:rPr>
      <w:rFonts w:cs="宋体"/>
      <w:kern w:val="0"/>
      <w:sz w:val="24"/>
      <w:szCs w:val="20"/>
    </w:rPr>
  </w:style>
  <w:style w:type="character" w:customStyle="1" w:styleId="23">
    <w:name w:val="5-内文 Char"/>
    <w:link w:val="24"/>
    <w:qFormat/>
    <w:locked/>
    <w:uiPriority w:val="99"/>
    <w:rPr>
      <w:rFonts w:ascii="Calibri" w:hAnsi="Calibri" w:eastAsia="仿宋_GB2312"/>
      <w:sz w:val="28"/>
    </w:rPr>
  </w:style>
  <w:style w:type="paragraph" w:customStyle="1" w:styleId="24">
    <w:name w:val="5-内文"/>
    <w:basedOn w:val="1"/>
    <w:link w:val="23"/>
    <w:qFormat/>
    <w:uiPriority w:val="99"/>
    <w:pPr>
      <w:spacing w:beforeLines="25" w:afterLines="25" w:line="300" w:lineRule="auto"/>
      <w:ind w:firstLine="200" w:firstLineChars="200"/>
    </w:pPr>
    <w:rPr>
      <w:rFonts w:eastAsia="仿宋_GB2312" w:cstheme="minorBidi"/>
      <w:sz w:val="28"/>
    </w:rPr>
  </w:style>
  <w:style w:type="character" w:customStyle="1" w:styleId="25">
    <w:name w:val="标题 1 Char"/>
    <w:basedOn w:val="13"/>
    <w:link w:val="2"/>
    <w:qFormat/>
    <w:uiPriority w:val="9"/>
    <w:rPr>
      <w:rFonts w:ascii="Calibri" w:hAnsi="Calibri" w:eastAsia="仿宋_GB2312" w:cs="Times New Roman"/>
      <w:b/>
      <w:bCs/>
      <w:kern w:val="44"/>
      <w:sz w:val="28"/>
      <w:szCs w:val="44"/>
    </w:rPr>
  </w:style>
  <w:style w:type="character" w:customStyle="1" w:styleId="26">
    <w:name w:val="标题 2 Char"/>
    <w:basedOn w:val="13"/>
    <w:link w:val="3"/>
    <w:qFormat/>
    <w:uiPriority w:val="9"/>
    <w:rPr>
      <w:rFonts w:asciiTheme="majorHAnsi" w:hAnsiTheme="majorHAnsi" w:eastAsiaTheme="majorEastAsia" w:cstheme="majorBidi"/>
      <w:b/>
      <w:bCs/>
      <w:sz w:val="32"/>
      <w:szCs w:val="32"/>
    </w:rPr>
  </w:style>
  <w:style w:type="character" w:customStyle="1" w:styleId="27">
    <w:name w:val="脚注文本 Char"/>
    <w:basedOn w:val="13"/>
    <w:link w:val="10"/>
    <w:semiHidden/>
    <w:qFormat/>
    <w:uiPriority w:val="99"/>
    <w:rPr>
      <w:rFonts w:ascii="Calibri" w:hAnsi="Calibri"/>
      <w:kern w:val="2"/>
      <w:sz w:val="18"/>
      <w:szCs w:val="18"/>
    </w:rPr>
  </w:style>
  <w:style w:type="character" w:customStyle="1" w:styleId="28">
    <w:name w:val="批注文字 Char"/>
    <w:basedOn w:val="13"/>
    <w:link w:val="5"/>
    <w:semiHidden/>
    <w:qFormat/>
    <w:uiPriority w:val="99"/>
    <w:rPr>
      <w:rFonts w:ascii="Calibri" w:hAnsi="Calibri"/>
      <w:kern w:val="2"/>
      <w:sz w:val="21"/>
      <w:szCs w:val="24"/>
    </w:rPr>
  </w:style>
  <w:style w:type="character" w:customStyle="1" w:styleId="29">
    <w:name w:val="批注主题 Char"/>
    <w:basedOn w:val="28"/>
    <w:link w:val="11"/>
    <w:semiHidden/>
    <w:qFormat/>
    <w:uiPriority w:val="99"/>
    <w:rPr>
      <w:b/>
      <w:bC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黑体"/>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宋体"/>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6AB0F-814E-446F-938B-41FA6C0C7271}">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36</Pages>
  <Words>2827</Words>
  <Characters>16114</Characters>
  <Lines>134</Lines>
  <Paragraphs>37</Paragraphs>
  <TotalTime>22</TotalTime>
  <ScaleCrop>false</ScaleCrop>
  <LinksUpToDate>false</LinksUpToDate>
  <CharactersWithSpaces>18904</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2019-03-12T12:07:00Z</dcterms:created>
  <dc:creator>丁石雄</dc:creator>
  <cp:lastModifiedBy>冰河世纪</cp:lastModifiedBy>
  <dcterms:modified xsi:type="dcterms:W3CDTF">2020-07-26T15:50:56Z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